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5375" w14:textId="77777777" w:rsidR="00C338A6" w:rsidRDefault="00C338A6" w:rsidP="008C638D">
      <w:pPr>
        <w:jc w:val="center"/>
        <w:rPr>
          <w:rFonts w:ascii="Calibri" w:hAnsi="Calibri" w:cs="Calibri"/>
          <w:b/>
          <w:sz w:val="28"/>
          <w:szCs w:val="28"/>
          <w:shd w:val="pct20" w:color="auto" w:fill="auto"/>
        </w:rPr>
      </w:pPr>
    </w:p>
    <w:p w14:paraId="1BE484A1" w14:textId="237CFB53" w:rsidR="0061404D" w:rsidRPr="00405C80" w:rsidRDefault="00303020" w:rsidP="008C638D">
      <w:pPr>
        <w:jc w:val="center"/>
        <w:rPr>
          <w:rFonts w:ascii="Calibri" w:hAnsi="Calibri" w:cs="Calibri"/>
          <w:b/>
          <w:sz w:val="28"/>
          <w:szCs w:val="28"/>
          <w:shd w:val="pct20" w:color="auto" w:fill="auto"/>
        </w:rPr>
      </w:pPr>
      <w:r>
        <w:rPr>
          <w:rFonts w:ascii="Calibri" w:hAnsi="Calibri" w:cs="Calibri"/>
          <w:b/>
          <w:sz w:val="28"/>
          <w:szCs w:val="28"/>
          <w:shd w:val="pct20" w:color="auto" w:fill="auto"/>
        </w:rPr>
        <w:t>GUIDELINES FOR THE PREVENTION AND TREATMENT OF</w:t>
      </w:r>
      <w:r w:rsidR="00BC0ABB">
        <w:rPr>
          <w:rFonts w:ascii="Calibri" w:hAnsi="Calibri" w:cs="Calibri"/>
          <w:b/>
          <w:sz w:val="28"/>
          <w:szCs w:val="28"/>
          <w:shd w:val="pct20" w:color="auto" w:fill="auto"/>
        </w:rPr>
        <w:t xml:space="preserve"> </w:t>
      </w:r>
      <w:r>
        <w:rPr>
          <w:rFonts w:ascii="Calibri" w:hAnsi="Calibri" w:cs="Calibri"/>
          <w:b/>
          <w:sz w:val="28"/>
          <w:szCs w:val="28"/>
          <w:shd w:val="pct20" w:color="auto" w:fill="auto"/>
        </w:rPr>
        <w:t>CHEMOTHERAPY REGIMEN SPECIFIC COMPLICATIONS</w:t>
      </w:r>
      <w:r w:rsidR="00BC0ABB">
        <w:rPr>
          <w:rFonts w:ascii="Calibri" w:hAnsi="Calibri" w:cs="Calibri"/>
          <w:b/>
          <w:sz w:val="28"/>
          <w:szCs w:val="28"/>
          <w:shd w:val="pct20" w:color="auto" w:fill="auto"/>
        </w:rPr>
        <w:t xml:space="preserve"> – INTRAVENOUS HYDRATION FLUIDS</w:t>
      </w:r>
    </w:p>
    <w:p w14:paraId="28C0DEF8" w14:textId="77777777" w:rsidR="002459A2" w:rsidRDefault="002459A2" w:rsidP="008C638D">
      <w:pPr>
        <w:jc w:val="both"/>
        <w:rPr>
          <w:rFonts w:ascii="Calibri" w:hAnsi="Calibri" w:cs="Calibri"/>
          <w:sz w:val="22"/>
          <w:szCs w:val="22"/>
        </w:rPr>
      </w:pPr>
    </w:p>
    <w:p w14:paraId="598DD714" w14:textId="77777777" w:rsidR="00C338A6" w:rsidRPr="00405C80" w:rsidRDefault="00C338A6" w:rsidP="008C638D">
      <w:pPr>
        <w:jc w:val="both"/>
        <w:rPr>
          <w:rFonts w:ascii="Calibri" w:hAnsi="Calibri" w:cs="Calibri"/>
          <w:sz w:val="22"/>
          <w:szCs w:val="22"/>
        </w:rPr>
      </w:pPr>
    </w:p>
    <w:p w14:paraId="0A3698B4" w14:textId="77777777" w:rsidR="00694BB8" w:rsidRPr="00405C80" w:rsidRDefault="00694BB8" w:rsidP="008C638D">
      <w:pPr>
        <w:jc w:val="both"/>
        <w:rPr>
          <w:rFonts w:ascii="Calibri" w:hAnsi="Calibri" w:cs="Calibri"/>
          <w:b/>
          <w:sz w:val="22"/>
          <w:szCs w:val="22"/>
          <w:u w:val="single"/>
        </w:rPr>
      </w:pPr>
      <w:r w:rsidRPr="00405C80">
        <w:rPr>
          <w:rFonts w:ascii="Calibri" w:hAnsi="Calibri" w:cs="Calibri"/>
          <w:b/>
          <w:sz w:val="22"/>
          <w:szCs w:val="22"/>
          <w:u w:val="single"/>
        </w:rPr>
        <w:t>I</w:t>
      </w:r>
      <w:r w:rsidR="00405C80" w:rsidRPr="00405C80">
        <w:rPr>
          <w:rFonts w:ascii="Calibri" w:hAnsi="Calibri" w:cs="Calibri"/>
          <w:b/>
          <w:sz w:val="22"/>
          <w:szCs w:val="22"/>
          <w:u w:val="single"/>
        </w:rPr>
        <w:t>NTRODUCTION</w:t>
      </w:r>
    </w:p>
    <w:p w14:paraId="6B8CE53D" w14:textId="77777777" w:rsidR="00E40608" w:rsidRDefault="00E40608" w:rsidP="008C638D">
      <w:pPr>
        <w:pStyle w:val="Default"/>
        <w:jc w:val="both"/>
        <w:rPr>
          <w:rFonts w:ascii="Calibri" w:hAnsi="Calibri" w:cs="Calibri"/>
          <w:sz w:val="22"/>
          <w:szCs w:val="22"/>
        </w:rPr>
      </w:pPr>
    </w:p>
    <w:p w14:paraId="174349AD" w14:textId="77777777" w:rsidR="006303D5" w:rsidRDefault="006303D5" w:rsidP="008C638D">
      <w:pPr>
        <w:pStyle w:val="Default"/>
        <w:jc w:val="both"/>
        <w:rPr>
          <w:rFonts w:ascii="Calibri" w:hAnsi="Calibri" w:cs="Calibri"/>
          <w:sz w:val="22"/>
          <w:szCs w:val="22"/>
        </w:rPr>
      </w:pPr>
      <w:r>
        <w:rPr>
          <w:rFonts w:ascii="Calibri" w:hAnsi="Calibri" w:cs="Calibri"/>
          <w:sz w:val="22"/>
          <w:szCs w:val="22"/>
        </w:rPr>
        <w:t xml:space="preserve">Chemotherapy that has renal or uroepithelial toxicity requires accompanying intravenous </w:t>
      </w:r>
      <w:r w:rsidR="00C8494D">
        <w:rPr>
          <w:rFonts w:ascii="Calibri" w:hAnsi="Calibri" w:cs="Calibri"/>
          <w:sz w:val="22"/>
          <w:szCs w:val="22"/>
        </w:rPr>
        <w:t>hyper-</w:t>
      </w:r>
      <w:r>
        <w:rPr>
          <w:rFonts w:ascii="Calibri" w:hAnsi="Calibri" w:cs="Calibri"/>
          <w:sz w:val="22"/>
          <w:szCs w:val="22"/>
        </w:rPr>
        <w:t xml:space="preserve">hydration. The following drugs must be given with intravenous </w:t>
      </w:r>
      <w:r w:rsidR="00C8494D">
        <w:rPr>
          <w:rFonts w:ascii="Calibri" w:hAnsi="Calibri" w:cs="Calibri"/>
          <w:sz w:val="22"/>
          <w:szCs w:val="22"/>
        </w:rPr>
        <w:t>hyper-</w:t>
      </w:r>
      <w:r>
        <w:rPr>
          <w:rFonts w:ascii="Calibri" w:hAnsi="Calibri" w:cs="Calibri"/>
          <w:sz w:val="22"/>
          <w:szCs w:val="22"/>
        </w:rPr>
        <w:t>hydration:</w:t>
      </w:r>
    </w:p>
    <w:p w14:paraId="0B6E36B6" w14:textId="77777777" w:rsidR="006303D5" w:rsidRDefault="006303D5" w:rsidP="008C638D">
      <w:pPr>
        <w:pStyle w:val="Default"/>
        <w:numPr>
          <w:ilvl w:val="0"/>
          <w:numId w:val="14"/>
        </w:numPr>
        <w:jc w:val="both"/>
        <w:rPr>
          <w:rFonts w:ascii="Calibri" w:hAnsi="Calibri" w:cs="Calibri"/>
          <w:sz w:val="22"/>
          <w:szCs w:val="22"/>
        </w:rPr>
      </w:pPr>
      <w:r>
        <w:rPr>
          <w:rFonts w:ascii="Calibri" w:hAnsi="Calibri" w:cs="Calibri"/>
          <w:sz w:val="22"/>
          <w:szCs w:val="22"/>
        </w:rPr>
        <w:t>Cisplatin</w:t>
      </w:r>
    </w:p>
    <w:p w14:paraId="1E3594D3" w14:textId="77777777" w:rsidR="006303D5" w:rsidRDefault="006303D5" w:rsidP="0F966544">
      <w:pPr>
        <w:pStyle w:val="Default"/>
        <w:numPr>
          <w:ilvl w:val="0"/>
          <w:numId w:val="14"/>
        </w:numPr>
        <w:jc w:val="both"/>
        <w:rPr>
          <w:rFonts w:ascii="Calibri" w:hAnsi="Calibri" w:cs="Calibri"/>
          <w:sz w:val="22"/>
          <w:szCs w:val="22"/>
          <w:lang w:val="en-US"/>
        </w:rPr>
      </w:pPr>
      <w:proofErr w:type="spellStart"/>
      <w:r w:rsidRPr="0F966544">
        <w:rPr>
          <w:rFonts w:ascii="Calibri" w:hAnsi="Calibri" w:cs="Calibri"/>
          <w:sz w:val="22"/>
          <w:szCs w:val="22"/>
          <w:lang w:val="en-US"/>
        </w:rPr>
        <w:t>Ifosfamide</w:t>
      </w:r>
      <w:proofErr w:type="spellEnd"/>
    </w:p>
    <w:p w14:paraId="089B18AE" w14:textId="77777777" w:rsidR="006303D5" w:rsidRDefault="006303D5" w:rsidP="008C638D">
      <w:pPr>
        <w:pStyle w:val="Default"/>
        <w:numPr>
          <w:ilvl w:val="0"/>
          <w:numId w:val="14"/>
        </w:numPr>
        <w:jc w:val="both"/>
        <w:rPr>
          <w:rFonts w:ascii="Calibri" w:hAnsi="Calibri" w:cs="Calibri"/>
          <w:sz w:val="22"/>
          <w:szCs w:val="22"/>
        </w:rPr>
      </w:pPr>
      <w:r>
        <w:rPr>
          <w:rFonts w:ascii="Calibri" w:hAnsi="Calibri" w:cs="Calibri"/>
          <w:sz w:val="22"/>
          <w:szCs w:val="22"/>
        </w:rPr>
        <w:t>Cyclophosphamide at daily doses &gt; 1g/m</w:t>
      </w:r>
      <w:r w:rsidRPr="006303D5">
        <w:rPr>
          <w:rFonts w:ascii="Calibri" w:hAnsi="Calibri" w:cs="Calibri"/>
          <w:sz w:val="22"/>
          <w:szCs w:val="22"/>
          <w:vertAlign w:val="superscript"/>
        </w:rPr>
        <w:t>2</w:t>
      </w:r>
    </w:p>
    <w:p w14:paraId="410E7D43" w14:textId="77777777" w:rsidR="006303D5" w:rsidRDefault="006303D5" w:rsidP="008C638D">
      <w:pPr>
        <w:pStyle w:val="Default"/>
        <w:numPr>
          <w:ilvl w:val="0"/>
          <w:numId w:val="14"/>
        </w:numPr>
        <w:jc w:val="both"/>
        <w:rPr>
          <w:rFonts w:ascii="Calibri" w:hAnsi="Calibri" w:cs="Calibri"/>
          <w:sz w:val="22"/>
          <w:szCs w:val="22"/>
        </w:rPr>
      </w:pPr>
      <w:r>
        <w:rPr>
          <w:rFonts w:ascii="Calibri" w:hAnsi="Calibri" w:cs="Calibri"/>
          <w:sz w:val="22"/>
          <w:szCs w:val="22"/>
        </w:rPr>
        <w:t>Methotrexate at doses &gt; 1g/m</w:t>
      </w:r>
      <w:r w:rsidRPr="006303D5">
        <w:rPr>
          <w:rFonts w:ascii="Calibri" w:hAnsi="Calibri" w:cs="Calibri"/>
          <w:sz w:val="22"/>
          <w:szCs w:val="22"/>
          <w:vertAlign w:val="superscript"/>
        </w:rPr>
        <w:t>2</w:t>
      </w:r>
    </w:p>
    <w:p w14:paraId="63E85A11" w14:textId="77777777" w:rsidR="006303D5" w:rsidRDefault="006303D5" w:rsidP="008C638D">
      <w:pPr>
        <w:pStyle w:val="Default"/>
        <w:numPr>
          <w:ilvl w:val="0"/>
          <w:numId w:val="14"/>
        </w:numPr>
        <w:jc w:val="both"/>
        <w:rPr>
          <w:rFonts w:ascii="Calibri" w:hAnsi="Calibri" w:cs="Calibri"/>
          <w:sz w:val="22"/>
          <w:szCs w:val="22"/>
        </w:rPr>
      </w:pPr>
      <w:r>
        <w:rPr>
          <w:rFonts w:ascii="Calibri" w:hAnsi="Calibri" w:cs="Calibri"/>
          <w:sz w:val="22"/>
          <w:szCs w:val="22"/>
        </w:rPr>
        <w:t>Melphalan</w:t>
      </w:r>
    </w:p>
    <w:p w14:paraId="63D41923" w14:textId="77777777" w:rsidR="00C32217" w:rsidRDefault="00C32217" w:rsidP="008C638D">
      <w:pPr>
        <w:pStyle w:val="Default"/>
        <w:jc w:val="both"/>
        <w:rPr>
          <w:rFonts w:ascii="Calibri" w:hAnsi="Calibri" w:cs="Calibri"/>
          <w:sz w:val="22"/>
          <w:szCs w:val="22"/>
        </w:rPr>
      </w:pPr>
    </w:p>
    <w:p w14:paraId="5AD5412F" w14:textId="77777777" w:rsidR="00C32217" w:rsidRPr="00C32217" w:rsidRDefault="00C32217" w:rsidP="008C638D">
      <w:pPr>
        <w:pStyle w:val="Default"/>
        <w:jc w:val="both"/>
        <w:rPr>
          <w:rFonts w:ascii="Calibri" w:hAnsi="Calibri" w:cs="Calibri"/>
          <w:b/>
          <w:sz w:val="22"/>
          <w:szCs w:val="22"/>
        </w:rPr>
      </w:pPr>
      <w:r>
        <w:rPr>
          <w:rFonts w:ascii="Calibri" w:hAnsi="Calibri" w:cs="Calibri"/>
          <w:b/>
          <w:sz w:val="22"/>
          <w:szCs w:val="22"/>
        </w:rPr>
        <w:t>**</w:t>
      </w:r>
      <w:r w:rsidR="00E44EE0">
        <w:rPr>
          <w:rFonts w:ascii="Calibri" w:hAnsi="Calibri" w:cs="Calibri"/>
          <w:b/>
          <w:sz w:val="22"/>
          <w:szCs w:val="22"/>
        </w:rPr>
        <w:t>PLEASE</w:t>
      </w:r>
      <w:r w:rsidRPr="00C32217">
        <w:rPr>
          <w:rFonts w:ascii="Calibri" w:hAnsi="Calibri" w:cs="Calibri"/>
          <w:b/>
          <w:sz w:val="22"/>
          <w:szCs w:val="22"/>
        </w:rPr>
        <w:t xml:space="preserve"> REFER TO </w:t>
      </w:r>
      <w:r w:rsidR="00E44EE0">
        <w:rPr>
          <w:rFonts w:ascii="Calibri" w:hAnsi="Calibri" w:cs="Calibri"/>
          <w:b/>
          <w:sz w:val="22"/>
          <w:szCs w:val="22"/>
        </w:rPr>
        <w:t>PATIENT’S INDIVIDUAL CHEMOTHERAPY PROTOCOL FOR FULL DETAILS OF INTRAVENOUS HYDRATION FLUID REQUIREMENTS</w:t>
      </w:r>
      <w:r>
        <w:rPr>
          <w:rFonts w:ascii="Calibri" w:hAnsi="Calibri" w:cs="Calibri"/>
          <w:b/>
          <w:sz w:val="22"/>
          <w:szCs w:val="22"/>
        </w:rPr>
        <w:t>**</w:t>
      </w:r>
    </w:p>
    <w:p w14:paraId="42329060" w14:textId="77777777" w:rsidR="006303D5" w:rsidRDefault="006303D5" w:rsidP="008C638D">
      <w:pPr>
        <w:pStyle w:val="Default"/>
        <w:jc w:val="both"/>
        <w:rPr>
          <w:rFonts w:ascii="Calibri" w:hAnsi="Calibri" w:cs="Calibri"/>
          <w:sz w:val="22"/>
          <w:szCs w:val="22"/>
        </w:rPr>
      </w:pPr>
    </w:p>
    <w:p w14:paraId="28D986B9" w14:textId="77777777" w:rsidR="00F00B43" w:rsidRDefault="00F00B43" w:rsidP="008C638D">
      <w:pPr>
        <w:pStyle w:val="Default"/>
        <w:jc w:val="both"/>
        <w:rPr>
          <w:rFonts w:ascii="Calibri" w:hAnsi="Calibri" w:cs="Calibri"/>
          <w:sz w:val="22"/>
          <w:szCs w:val="22"/>
        </w:rPr>
      </w:pPr>
      <w:r>
        <w:rPr>
          <w:rFonts w:ascii="Calibri" w:hAnsi="Calibri" w:cs="Calibri"/>
          <w:sz w:val="22"/>
          <w:szCs w:val="22"/>
        </w:rPr>
        <w:t>These guidelines cover:</w:t>
      </w:r>
    </w:p>
    <w:p w14:paraId="3C122480" w14:textId="77777777" w:rsidR="00F00B43" w:rsidRDefault="00F00B43" w:rsidP="008C638D">
      <w:pPr>
        <w:pStyle w:val="Default"/>
        <w:numPr>
          <w:ilvl w:val="0"/>
          <w:numId w:val="13"/>
        </w:numPr>
        <w:jc w:val="both"/>
        <w:rPr>
          <w:rFonts w:ascii="Calibri" w:hAnsi="Calibri" w:cs="Calibri"/>
          <w:sz w:val="22"/>
          <w:szCs w:val="22"/>
        </w:rPr>
      </w:pPr>
      <w:r>
        <w:rPr>
          <w:rFonts w:ascii="Calibri" w:hAnsi="Calibri" w:cs="Calibri"/>
          <w:sz w:val="22"/>
          <w:szCs w:val="22"/>
        </w:rPr>
        <w:t>Pre and post hydration requirements</w:t>
      </w:r>
    </w:p>
    <w:p w14:paraId="1F0F0C4F" w14:textId="77777777" w:rsidR="00F00B43" w:rsidRDefault="00CE08A8" w:rsidP="0F966544">
      <w:pPr>
        <w:pStyle w:val="Default"/>
        <w:numPr>
          <w:ilvl w:val="0"/>
          <w:numId w:val="13"/>
        </w:numPr>
        <w:jc w:val="both"/>
        <w:rPr>
          <w:rFonts w:ascii="Calibri" w:hAnsi="Calibri" w:cs="Calibri"/>
          <w:sz w:val="22"/>
          <w:szCs w:val="22"/>
          <w:lang w:val="en-US"/>
        </w:rPr>
      </w:pPr>
      <w:r w:rsidRPr="0F966544">
        <w:rPr>
          <w:rFonts w:ascii="Calibri" w:hAnsi="Calibri" w:cs="Calibri"/>
          <w:sz w:val="22"/>
          <w:szCs w:val="22"/>
          <w:lang w:val="en-US"/>
        </w:rPr>
        <w:t xml:space="preserve">Specific supportive care for cisplatin, </w:t>
      </w:r>
      <w:proofErr w:type="spellStart"/>
      <w:r w:rsidRPr="0F966544">
        <w:rPr>
          <w:rFonts w:ascii="Calibri" w:hAnsi="Calibri" w:cs="Calibri"/>
          <w:sz w:val="22"/>
          <w:szCs w:val="22"/>
          <w:lang w:val="en-US"/>
        </w:rPr>
        <w:t>ifosfamide</w:t>
      </w:r>
      <w:proofErr w:type="spellEnd"/>
      <w:r w:rsidRPr="0F966544">
        <w:rPr>
          <w:rFonts w:ascii="Calibri" w:hAnsi="Calibri" w:cs="Calibri"/>
          <w:sz w:val="22"/>
          <w:szCs w:val="22"/>
          <w:lang w:val="en-US"/>
        </w:rPr>
        <w:t>/cyclophosphamide, melphalan and high dose methotrexate</w:t>
      </w:r>
      <w:r w:rsidR="006303D5" w:rsidRPr="0F966544">
        <w:rPr>
          <w:rFonts w:ascii="Calibri" w:hAnsi="Calibri" w:cs="Calibri"/>
          <w:sz w:val="22"/>
          <w:szCs w:val="22"/>
          <w:lang w:val="en-US"/>
        </w:rPr>
        <w:t>.</w:t>
      </w:r>
    </w:p>
    <w:p w14:paraId="1F57E2F5" w14:textId="77777777" w:rsidR="006303D5" w:rsidRDefault="006303D5" w:rsidP="008C638D">
      <w:pPr>
        <w:pStyle w:val="Default"/>
        <w:jc w:val="both"/>
        <w:rPr>
          <w:rFonts w:ascii="Calibri" w:hAnsi="Calibri" w:cs="Calibri"/>
          <w:sz w:val="22"/>
          <w:szCs w:val="22"/>
        </w:rPr>
      </w:pPr>
    </w:p>
    <w:p w14:paraId="09AA8396" w14:textId="77777777" w:rsidR="00155677" w:rsidRDefault="006303D5" w:rsidP="0F966544">
      <w:pPr>
        <w:pStyle w:val="Default"/>
        <w:jc w:val="both"/>
        <w:rPr>
          <w:rFonts w:ascii="Calibri" w:hAnsi="Calibri" w:cs="Calibri"/>
          <w:sz w:val="22"/>
          <w:szCs w:val="22"/>
          <w:lang w:val="en-US"/>
        </w:rPr>
      </w:pPr>
      <w:r w:rsidRPr="0F966544">
        <w:rPr>
          <w:rFonts w:ascii="Calibri" w:hAnsi="Calibri" w:cs="Calibri"/>
          <w:sz w:val="22"/>
          <w:szCs w:val="22"/>
          <w:lang w:val="en-US"/>
        </w:rPr>
        <w:t>Hydration may also be required</w:t>
      </w:r>
      <w:r w:rsidR="00155677" w:rsidRPr="0F966544">
        <w:rPr>
          <w:rFonts w:ascii="Calibri" w:hAnsi="Calibri" w:cs="Calibri"/>
          <w:sz w:val="22"/>
          <w:szCs w:val="22"/>
          <w:lang w:val="en-US"/>
        </w:rPr>
        <w:t>:</w:t>
      </w:r>
    </w:p>
    <w:p w14:paraId="6D86B5E8" w14:textId="77777777" w:rsidR="00155677" w:rsidRDefault="00155677" w:rsidP="0F966544">
      <w:pPr>
        <w:pStyle w:val="Default"/>
        <w:numPr>
          <w:ilvl w:val="0"/>
          <w:numId w:val="22"/>
        </w:numPr>
        <w:jc w:val="both"/>
        <w:rPr>
          <w:rFonts w:ascii="Calibri" w:hAnsi="Calibri" w:cs="Calibri"/>
          <w:sz w:val="22"/>
          <w:szCs w:val="22"/>
          <w:lang w:val="en-US"/>
        </w:rPr>
      </w:pPr>
      <w:r w:rsidRPr="0F966544">
        <w:rPr>
          <w:rFonts w:ascii="Calibri" w:hAnsi="Calibri" w:cs="Calibri"/>
          <w:sz w:val="22"/>
          <w:szCs w:val="22"/>
          <w:lang w:val="en-US"/>
        </w:rPr>
        <w:t>T</w:t>
      </w:r>
      <w:r w:rsidR="006303D5" w:rsidRPr="0F966544">
        <w:rPr>
          <w:rFonts w:ascii="Calibri" w:hAnsi="Calibri" w:cs="Calibri"/>
          <w:sz w:val="22"/>
          <w:szCs w:val="22"/>
          <w:lang w:val="en-US"/>
        </w:rPr>
        <w:t xml:space="preserve">o </w:t>
      </w:r>
      <w:r w:rsidR="00C32217" w:rsidRPr="0F966544">
        <w:rPr>
          <w:rFonts w:ascii="Calibri" w:hAnsi="Calibri" w:cs="Calibri"/>
          <w:sz w:val="22"/>
          <w:szCs w:val="22"/>
          <w:lang w:val="en-US"/>
        </w:rPr>
        <w:t xml:space="preserve">treat or </w:t>
      </w:r>
      <w:r w:rsidR="006303D5" w:rsidRPr="0F966544">
        <w:rPr>
          <w:rFonts w:ascii="Calibri" w:hAnsi="Calibri" w:cs="Calibri"/>
          <w:sz w:val="22"/>
          <w:szCs w:val="22"/>
          <w:lang w:val="en-US"/>
        </w:rPr>
        <w:t xml:space="preserve">prevent acute </w:t>
      </w:r>
      <w:proofErr w:type="spellStart"/>
      <w:r w:rsidR="006303D5" w:rsidRPr="0F966544">
        <w:rPr>
          <w:rFonts w:ascii="Calibri" w:hAnsi="Calibri" w:cs="Calibri"/>
          <w:sz w:val="22"/>
          <w:szCs w:val="22"/>
          <w:lang w:val="en-US"/>
        </w:rPr>
        <w:t>tumour</w:t>
      </w:r>
      <w:proofErr w:type="spellEnd"/>
      <w:r w:rsidR="006303D5" w:rsidRPr="0F966544">
        <w:rPr>
          <w:rFonts w:ascii="Calibri" w:hAnsi="Calibri" w:cs="Calibri"/>
          <w:sz w:val="22"/>
          <w:szCs w:val="22"/>
          <w:lang w:val="en-US"/>
        </w:rPr>
        <w:t xml:space="preserve"> lysis syndrome (see Acute </w:t>
      </w:r>
      <w:proofErr w:type="spellStart"/>
      <w:r w:rsidR="006303D5" w:rsidRPr="0F966544">
        <w:rPr>
          <w:rFonts w:ascii="Calibri" w:hAnsi="Calibri" w:cs="Calibri"/>
          <w:sz w:val="22"/>
          <w:szCs w:val="22"/>
          <w:lang w:val="en-US"/>
        </w:rPr>
        <w:t>Tumour</w:t>
      </w:r>
      <w:proofErr w:type="spellEnd"/>
      <w:r w:rsidR="006303D5" w:rsidRPr="0F966544">
        <w:rPr>
          <w:rFonts w:ascii="Calibri" w:hAnsi="Calibri" w:cs="Calibri"/>
          <w:sz w:val="22"/>
          <w:szCs w:val="22"/>
          <w:lang w:val="en-US"/>
        </w:rPr>
        <w:t xml:space="preserve"> Lysis Syndrome (TLS) Guidelines for the Prevention and Management)</w:t>
      </w:r>
      <w:r w:rsidR="00C32217" w:rsidRPr="0F966544">
        <w:rPr>
          <w:rFonts w:ascii="Calibri" w:hAnsi="Calibri" w:cs="Calibri"/>
          <w:sz w:val="22"/>
          <w:szCs w:val="22"/>
          <w:lang w:val="en-US"/>
        </w:rPr>
        <w:t xml:space="preserve"> </w:t>
      </w:r>
    </w:p>
    <w:p w14:paraId="63FD69C2" w14:textId="77777777" w:rsidR="00155677" w:rsidRPr="00155677" w:rsidRDefault="00155677" w:rsidP="0F966544">
      <w:pPr>
        <w:pStyle w:val="Default"/>
        <w:numPr>
          <w:ilvl w:val="1"/>
          <w:numId w:val="22"/>
        </w:numPr>
        <w:jc w:val="both"/>
        <w:rPr>
          <w:rFonts w:ascii="Calibri" w:hAnsi="Calibri" w:cs="Calibri"/>
          <w:sz w:val="22"/>
          <w:szCs w:val="22"/>
          <w:lang w:val="en-US"/>
        </w:rPr>
      </w:pPr>
      <w:r w:rsidRPr="0F966544">
        <w:rPr>
          <w:rFonts w:ascii="Calibri" w:hAnsi="Calibri" w:cs="Calibri"/>
          <w:sz w:val="22"/>
          <w:szCs w:val="22"/>
          <w:lang w:val="en-US"/>
        </w:rPr>
        <w:t xml:space="preserve">Note: patients may be at risk of </w:t>
      </w:r>
      <w:proofErr w:type="spellStart"/>
      <w:r w:rsidRPr="0F966544">
        <w:rPr>
          <w:rFonts w:ascii="Calibri" w:hAnsi="Calibri" w:cs="Calibri"/>
          <w:sz w:val="22"/>
          <w:szCs w:val="22"/>
          <w:lang w:val="en-US"/>
        </w:rPr>
        <w:t>tumour</w:t>
      </w:r>
      <w:proofErr w:type="spellEnd"/>
      <w:r w:rsidRPr="0F966544">
        <w:rPr>
          <w:rFonts w:ascii="Calibri" w:hAnsi="Calibri" w:cs="Calibri"/>
          <w:sz w:val="22"/>
          <w:szCs w:val="22"/>
          <w:lang w:val="en-US"/>
        </w:rPr>
        <w:t xml:space="preserve"> lysis syndrome prior to confirmation of diagnosis. Potassium containing fluids should therefore be avoided until the risk of </w:t>
      </w:r>
      <w:proofErr w:type="spellStart"/>
      <w:r w:rsidRPr="0F966544">
        <w:rPr>
          <w:rFonts w:ascii="Calibri" w:hAnsi="Calibri" w:cs="Calibri"/>
          <w:sz w:val="22"/>
          <w:szCs w:val="22"/>
          <w:lang w:val="en-US"/>
        </w:rPr>
        <w:t>tumour</w:t>
      </w:r>
      <w:proofErr w:type="spellEnd"/>
      <w:r w:rsidRPr="0F966544">
        <w:rPr>
          <w:rFonts w:ascii="Calibri" w:hAnsi="Calibri" w:cs="Calibri"/>
          <w:sz w:val="22"/>
          <w:szCs w:val="22"/>
          <w:lang w:val="en-US"/>
        </w:rPr>
        <w:t xml:space="preserve"> lysis is known. </w:t>
      </w:r>
    </w:p>
    <w:p w14:paraId="0BCF27A6" w14:textId="77777777" w:rsidR="006303D5" w:rsidRDefault="00155677" w:rsidP="00155677">
      <w:pPr>
        <w:pStyle w:val="Default"/>
        <w:numPr>
          <w:ilvl w:val="0"/>
          <w:numId w:val="22"/>
        </w:numPr>
        <w:jc w:val="both"/>
        <w:rPr>
          <w:rFonts w:ascii="Calibri" w:hAnsi="Calibri" w:cs="Calibri"/>
          <w:sz w:val="22"/>
          <w:szCs w:val="22"/>
        </w:rPr>
      </w:pPr>
      <w:r>
        <w:rPr>
          <w:rFonts w:ascii="Calibri" w:hAnsi="Calibri" w:cs="Calibri"/>
          <w:sz w:val="22"/>
          <w:szCs w:val="22"/>
        </w:rPr>
        <w:t>I</w:t>
      </w:r>
      <w:r w:rsidR="00C32217">
        <w:rPr>
          <w:rFonts w:ascii="Calibri" w:hAnsi="Calibri" w:cs="Calibri"/>
          <w:sz w:val="22"/>
          <w:szCs w:val="22"/>
        </w:rPr>
        <w:t xml:space="preserve">n patients who have inadequate oral intake during any chemotherapy </w:t>
      </w:r>
      <w:r>
        <w:rPr>
          <w:rFonts w:ascii="Calibri" w:hAnsi="Calibri" w:cs="Calibri"/>
          <w:sz w:val="22"/>
          <w:szCs w:val="22"/>
        </w:rPr>
        <w:t xml:space="preserve">administration </w:t>
      </w:r>
      <w:r w:rsidR="00C32217">
        <w:rPr>
          <w:rFonts w:ascii="Calibri" w:hAnsi="Calibri" w:cs="Calibri"/>
          <w:sz w:val="22"/>
          <w:szCs w:val="22"/>
        </w:rPr>
        <w:t xml:space="preserve">(in addition to the drugs listed above). Refer to Clinical Guideline on the Administration of Intravenous Fluids. </w:t>
      </w:r>
    </w:p>
    <w:p w14:paraId="2530BB8F" w14:textId="77777777" w:rsidR="009C6C64" w:rsidRDefault="009C6C64" w:rsidP="008C638D">
      <w:pPr>
        <w:pStyle w:val="Default"/>
        <w:jc w:val="both"/>
        <w:rPr>
          <w:rFonts w:ascii="Calibri" w:hAnsi="Calibri" w:cs="Calibri"/>
          <w:sz w:val="22"/>
          <w:szCs w:val="22"/>
        </w:rPr>
      </w:pPr>
    </w:p>
    <w:p w14:paraId="599835E3" w14:textId="77777777" w:rsidR="00CE08A8" w:rsidRPr="00405C80" w:rsidRDefault="00CE08A8" w:rsidP="008C638D">
      <w:pPr>
        <w:pStyle w:val="Default"/>
        <w:jc w:val="both"/>
        <w:rPr>
          <w:rFonts w:ascii="Calibri" w:hAnsi="Calibri" w:cs="Calibri"/>
          <w:sz w:val="22"/>
          <w:szCs w:val="22"/>
        </w:rPr>
      </w:pPr>
    </w:p>
    <w:p w14:paraId="3F58369B" w14:textId="77777777" w:rsidR="00694BB8" w:rsidRDefault="00C32217" w:rsidP="008C638D">
      <w:pPr>
        <w:jc w:val="both"/>
        <w:rPr>
          <w:rFonts w:ascii="Calibri" w:hAnsi="Calibri" w:cs="Calibri"/>
          <w:b/>
          <w:caps/>
          <w:sz w:val="22"/>
          <w:szCs w:val="22"/>
          <w:u w:val="single"/>
        </w:rPr>
      </w:pPr>
      <w:r>
        <w:rPr>
          <w:rFonts w:ascii="Calibri" w:hAnsi="Calibri" w:cs="Calibri"/>
          <w:b/>
          <w:caps/>
          <w:sz w:val="22"/>
          <w:szCs w:val="22"/>
          <w:u w:val="single"/>
        </w:rPr>
        <w:t>rECOMMENDED FLUIDS</w:t>
      </w:r>
    </w:p>
    <w:p w14:paraId="3633BCCA" w14:textId="77777777" w:rsidR="003C2E66" w:rsidRPr="00D576CE" w:rsidRDefault="003C2E66" w:rsidP="008C638D">
      <w:pPr>
        <w:jc w:val="both"/>
        <w:rPr>
          <w:rFonts w:ascii="Calibri" w:hAnsi="Calibri" w:cs="Calibri"/>
          <w:sz w:val="22"/>
          <w:szCs w:val="22"/>
        </w:rPr>
      </w:pPr>
    </w:p>
    <w:p w14:paraId="79DE5B1C" w14:textId="77777777" w:rsidR="00C32217" w:rsidRPr="00D576CE" w:rsidRDefault="00C32217" w:rsidP="008C638D">
      <w:pPr>
        <w:jc w:val="both"/>
        <w:rPr>
          <w:rFonts w:ascii="Calibri" w:hAnsi="Calibri" w:cs="Calibri"/>
          <w:sz w:val="22"/>
          <w:szCs w:val="22"/>
        </w:rPr>
      </w:pPr>
      <w:r w:rsidRPr="00D576CE">
        <w:rPr>
          <w:rFonts w:ascii="Calibri" w:hAnsi="Calibri" w:cs="Calibri"/>
          <w:sz w:val="22"/>
          <w:szCs w:val="22"/>
        </w:rPr>
        <w:t>Fluids used alongside chemotherapy include:</w:t>
      </w:r>
    </w:p>
    <w:p w14:paraId="625A372F" w14:textId="77777777" w:rsidR="00C32217" w:rsidRPr="00D576CE" w:rsidRDefault="00C32217" w:rsidP="008C638D">
      <w:pPr>
        <w:numPr>
          <w:ilvl w:val="0"/>
          <w:numId w:val="15"/>
        </w:numPr>
        <w:jc w:val="both"/>
        <w:rPr>
          <w:rFonts w:ascii="Calibri" w:hAnsi="Calibri" w:cs="Calibri"/>
          <w:sz w:val="22"/>
          <w:szCs w:val="22"/>
        </w:rPr>
      </w:pPr>
      <w:r w:rsidRPr="00D576CE">
        <w:rPr>
          <w:rFonts w:ascii="Calibri" w:hAnsi="Calibri" w:cs="Calibri"/>
          <w:sz w:val="22"/>
          <w:szCs w:val="22"/>
        </w:rPr>
        <w:t>5% glucose and 0.45% sodium chloride (available as 500ml bags)</w:t>
      </w:r>
    </w:p>
    <w:p w14:paraId="3A03E336" w14:textId="77777777" w:rsidR="00C32217" w:rsidRPr="00D576CE" w:rsidRDefault="00C32217" w:rsidP="008C638D">
      <w:pPr>
        <w:numPr>
          <w:ilvl w:val="0"/>
          <w:numId w:val="15"/>
        </w:numPr>
        <w:jc w:val="both"/>
        <w:rPr>
          <w:rFonts w:ascii="Calibri" w:hAnsi="Calibri" w:cs="Calibri"/>
          <w:sz w:val="22"/>
          <w:szCs w:val="22"/>
        </w:rPr>
      </w:pPr>
      <w:r w:rsidRPr="00D576CE">
        <w:rPr>
          <w:rFonts w:ascii="Calibri" w:hAnsi="Calibri" w:cs="Calibri"/>
          <w:sz w:val="22"/>
          <w:szCs w:val="22"/>
        </w:rPr>
        <w:t>2.5% glucose, 0.45% sodium chloride and potassium chloride 20mmol/L (available as 1L, 2L and 3L bags)</w:t>
      </w:r>
    </w:p>
    <w:p w14:paraId="42305FFD" w14:textId="77777777" w:rsidR="00C32217" w:rsidRPr="00D576CE" w:rsidRDefault="00C32217" w:rsidP="008C638D">
      <w:pPr>
        <w:numPr>
          <w:ilvl w:val="0"/>
          <w:numId w:val="15"/>
        </w:numPr>
        <w:jc w:val="both"/>
        <w:rPr>
          <w:rFonts w:ascii="Calibri" w:hAnsi="Calibri" w:cs="Calibri"/>
          <w:sz w:val="22"/>
          <w:szCs w:val="22"/>
        </w:rPr>
      </w:pPr>
      <w:r w:rsidRPr="00D576CE">
        <w:rPr>
          <w:rFonts w:ascii="Calibri" w:hAnsi="Calibri" w:cs="Calibri"/>
          <w:sz w:val="22"/>
          <w:szCs w:val="22"/>
        </w:rPr>
        <w:t>5% glucose, sodium chloride 0.45% and potassium chloride 20mmol/L (available as 500ml bags)</w:t>
      </w:r>
    </w:p>
    <w:p w14:paraId="54DF50CA" w14:textId="372C41FE" w:rsidR="00C32217" w:rsidRPr="00D576CE" w:rsidRDefault="00C32217" w:rsidP="008C638D">
      <w:pPr>
        <w:numPr>
          <w:ilvl w:val="0"/>
          <w:numId w:val="15"/>
        </w:numPr>
        <w:jc w:val="both"/>
        <w:rPr>
          <w:rFonts w:ascii="Calibri" w:hAnsi="Calibri" w:cs="Calibri"/>
          <w:sz w:val="22"/>
          <w:szCs w:val="22"/>
        </w:rPr>
      </w:pPr>
      <w:r w:rsidRPr="00D576CE">
        <w:rPr>
          <w:rFonts w:ascii="Calibri" w:hAnsi="Calibri" w:cs="Calibri"/>
          <w:sz w:val="22"/>
          <w:szCs w:val="22"/>
        </w:rPr>
        <w:t>2.5% glucose, 0.45% sodium chloride, potassium chloride 20mmol/L, magnesium sulfate 10mmol/L and calcium chloride 0.6mmol/L (available as 1L bags)</w:t>
      </w:r>
      <w:r w:rsidR="00AA4493">
        <w:rPr>
          <w:rFonts w:ascii="Calibri" w:hAnsi="Calibri" w:cs="Calibri"/>
          <w:sz w:val="22"/>
          <w:szCs w:val="22"/>
        </w:rPr>
        <w:t xml:space="preserve">. In the event of a disruption in supply of these bags, magnesium may be added to </w:t>
      </w:r>
      <w:r w:rsidR="00AA4493" w:rsidRPr="00D576CE">
        <w:rPr>
          <w:rFonts w:ascii="Calibri" w:hAnsi="Calibri" w:cs="Calibri"/>
          <w:sz w:val="22"/>
          <w:szCs w:val="22"/>
        </w:rPr>
        <w:t xml:space="preserve">2.5% glucose, 0.45% sodium chloride and potassium chloride 20mmol/L </w:t>
      </w:r>
      <w:r w:rsidR="00AA4493">
        <w:rPr>
          <w:rFonts w:ascii="Calibri" w:hAnsi="Calibri" w:cs="Calibri"/>
          <w:sz w:val="22"/>
          <w:szCs w:val="22"/>
        </w:rPr>
        <w:t xml:space="preserve">(calcium may be omitted). </w:t>
      </w:r>
    </w:p>
    <w:p w14:paraId="162B3418" w14:textId="77777777" w:rsidR="00C32217" w:rsidRPr="00D576CE" w:rsidRDefault="00C32217" w:rsidP="008C638D">
      <w:pPr>
        <w:jc w:val="both"/>
        <w:rPr>
          <w:rFonts w:ascii="Calibri" w:hAnsi="Calibri" w:cs="Calibri"/>
          <w:sz w:val="22"/>
          <w:szCs w:val="22"/>
        </w:rPr>
      </w:pPr>
    </w:p>
    <w:p w14:paraId="127A46FA" w14:textId="77777777" w:rsidR="00C32217" w:rsidRPr="00D576CE" w:rsidRDefault="006C65EB" w:rsidP="008C638D">
      <w:pPr>
        <w:jc w:val="both"/>
        <w:rPr>
          <w:rFonts w:ascii="Calibri" w:hAnsi="Calibri" w:cs="Calibri"/>
          <w:sz w:val="22"/>
          <w:szCs w:val="22"/>
        </w:rPr>
      </w:pPr>
      <w:r w:rsidRPr="00D576CE">
        <w:rPr>
          <w:rFonts w:ascii="Calibri" w:hAnsi="Calibri" w:cs="Calibri"/>
          <w:sz w:val="22"/>
          <w:szCs w:val="22"/>
        </w:rPr>
        <w:t>The choice of fluid depends on:</w:t>
      </w:r>
    </w:p>
    <w:p w14:paraId="78019885" w14:textId="77777777" w:rsidR="006C65EB" w:rsidRPr="00D576CE" w:rsidRDefault="006C65EB" w:rsidP="008C638D">
      <w:pPr>
        <w:numPr>
          <w:ilvl w:val="0"/>
          <w:numId w:val="16"/>
        </w:numPr>
        <w:jc w:val="both"/>
        <w:rPr>
          <w:rFonts w:ascii="Calibri" w:hAnsi="Calibri" w:cs="Calibri"/>
          <w:sz w:val="22"/>
          <w:szCs w:val="22"/>
        </w:rPr>
      </w:pPr>
      <w:r w:rsidRPr="00D576CE">
        <w:rPr>
          <w:rFonts w:ascii="Calibri" w:hAnsi="Calibri" w:cs="Calibri"/>
          <w:sz w:val="22"/>
          <w:szCs w:val="22"/>
        </w:rPr>
        <w:t>Compatibility with the rest of the chemotherapy cycle</w:t>
      </w:r>
    </w:p>
    <w:p w14:paraId="70450CE4" w14:textId="77777777" w:rsidR="006C65EB" w:rsidRPr="00D576CE" w:rsidRDefault="006C65EB" w:rsidP="008C638D">
      <w:pPr>
        <w:numPr>
          <w:ilvl w:val="0"/>
          <w:numId w:val="16"/>
        </w:numPr>
        <w:jc w:val="both"/>
        <w:rPr>
          <w:rFonts w:ascii="Calibri" w:hAnsi="Calibri" w:cs="Calibri"/>
          <w:sz w:val="22"/>
          <w:szCs w:val="22"/>
        </w:rPr>
      </w:pPr>
      <w:r w:rsidRPr="00D576CE">
        <w:rPr>
          <w:rFonts w:ascii="Calibri" w:hAnsi="Calibri" w:cs="Calibri"/>
          <w:sz w:val="22"/>
          <w:szCs w:val="22"/>
        </w:rPr>
        <w:t xml:space="preserve">Risk of </w:t>
      </w:r>
      <w:proofErr w:type="spellStart"/>
      <w:r w:rsidRPr="00D576CE">
        <w:rPr>
          <w:rFonts w:ascii="Calibri" w:hAnsi="Calibri" w:cs="Calibri"/>
          <w:sz w:val="22"/>
          <w:szCs w:val="22"/>
        </w:rPr>
        <w:t>hyponatraemia</w:t>
      </w:r>
      <w:proofErr w:type="spellEnd"/>
      <w:r w:rsidRPr="00D576CE">
        <w:rPr>
          <w:rFonts w:ascii="Calibri" w:hAnsi="Calibri" w:cs="Calibri"/>
          <w:sz w:val="22"/>
          <w:szCs w:val="22"/>
        </w:rPr>
        <w:t xml:space="preserve">, </w:t>
      </w:r>
      <w:proofErr w:type="spellStart"/>
      <w:r w:rsidRPr="00D576CE">
        <w:rPr>
          <w:rFonts w:ascii="Calibri" w:hAnsi="Calibri" w:cs="Calibri"/>
          <w:sz w:val="22"/>
          <w:szCs w:val="22"/>
        </w:rPr>
        <w:t>hypokalaemia</w:t>
      </w:r>
      <w:proofErr w:type="spellEnd"/>
      <w:r w:rsidRPr="00D576CE">
        <w:rPr>
          <w:rFonts w:ascii="Calibri" w:hAnsi="Calibri" w:cs="Calibri"/>
          <w:sz w:val="22"/>
          <w:szCs w:val="22"/>
        </w:rPr>
        <w:t xml:space="preserve"> or hypomagnesaemia associated with the chemotherapy drug(s).</w:t>
      </w:r>
    </w:p>
    <w:p w14:paraId="240C7A4B" w14:textId="77777777" w:rsidR="006C65EB" w:rsidRPr="00D576CE" w:rsidRDefault="006C65EB" w:rsidP="008C638D">
      <w:pPr>
        <w:jc w:val="both"/>
        <w:rPr>
          <w:rFonts w:ascii="Calibri" w:hAnsi="Calibri" w:cs="Calibri"/>
          <w:sz w:val="22"/>
          <w:szCs w:val="22"/>
        </w:rPr>
      </w:pPr>
    </w:p>
    <w:p w14:paraId="0DBC65A4" w14:textId="77777777" w:rsidR="006C65EB" w:rsidRDefault="006C65EB" w:rsidP="008C638D">
      <w:pPr>
        <w:jc w:val="both"/>
        <w:rPr>
          <w:rFonts w:ascii="Calibri" w:hAnsi="Calibri" w:cs="Calibri"/>
          <w:sz w:val="22"/>
          <w:szCs w:val="22"/>
        </w:rPr>
      </w:pPr>
    </w:p>
    <w:p w14:paraId="43A7E9B1" w14:textId="77777777" w:rsidR="00C338A6" w:rsidRDefault="00C338A6" w:rsidP="008C638D">
      <w:pPr>
        <w:jc w:val="both"/>
        <w:rPr>
          <w:rFonts w:ascii="Calibri" w:hAnsi="Calibri" w:cs="Calibri"/>
          <w:sz w:val="22"/>
          <w:szCs w:val="22"/>
        </w:rPr>
      </w:pPr>
    </w:p>
    <w:p w14:paraId="3CF061D7" w14:textId="77777777" w:rsidR="00C338A6" w:rsidRPr="00D576CE" w:rsidRDefault="00C338A6" w:rsidP="008C638D">
      <w:pPr>
        <w:jc w:val="both"/>
        <w:rPr>
          <w:rFonts w:ascii="Calibri" w:hAnsi="Calibri" w:cs="Calibri"/>
          <w:sz w:val="22"/>
          <w:szCs w:val="22"/>
        </w:rPr>
      </w:pPr>
    </w:p>
    <w:p w14:paraId="0F94089E" w14:textId="77777777" w:rsidR="00C32217" w:rsidRPr="00D576CE" w:rsidRDefault="003C2E66" w:rsidP="008C638D">
      <w:pPr>
        <w:jc w:val="both"/>
        <w:rPr>
          <w:rFonts w:ascii="Calibri" w:hAnsi="Calibri" w:cs="Calibri"/>
          <w:b/>
          <w:sz w:val="22"/>
          <w:szCs w:val="22"/>
          <w:u w:val="single"/>
        </w:rPr>
      </w:pPr>
      <w:r w:rsidRPr="00D576CE">
        <w:rPr>
          <w:rFonts w:ascii="Calibri" w:hAnsi="Calibri" w:cs="Calibri"/>
          <w:b/>
          <w:sz w:val="22"/>
          <w:szCs w:val="22"/>
          <w:u w:val="single"/>
        </w:rPr>
        <w:t>HYPER-</w:t>
      </w:r>
      <w:r w:rsidR="00C32217" w:rsidRPr="00D576CE">
        <w:rPr>
          <w:rFonts w:ascii="Calibri" w:hAnsi="Calibri" w:cs="Calibri"/>
          <w:b/>
          <w:sz w:val="22"/>
          <w:szCs w:val="22"/>
          <w:u w:val="single"/>
        </w:rPr>
        <w:t>HYDRATION RATES</w:t>
      </w:r>
    </w:p>
    <w:p w14:paraId="3D1B462D" w14:textId="77777777" w:rsidR="003C2E66" w:rsidRPr="00D576CE" w:rsidRDefault="003C2E66" w:rsidP="008C638D">
      <w:pPr>
        <w:jc w:val="both"/>
        <w:rPr>
          <w:rFonts w:ascii="Calibri" w:hAnsi="Calibri" w:cs="Calibri"/>
          <w:sz w:val="22"/>
          <w:szCs w:val="22"/>
        </w:rPr>
      </w:pPr>
    </w:p>
    <w:p w14:paraId="5A600FB4" w14:textId="77777777" w:rsidR="006C65EB" w:rsidRPr="00D576CE" w:rsidRDefault="003C2E66" w:rsidP="008C638D">
      <w:pPr>
        <w:jc w:val="both"/>
        <w:rPr>
          <w:rFonts w:ascii="Calibri" w:hAnsi="Calibri" w:cs="Calibri"/>
          <w:sz w:val="22"/>
          <w:szCs w:val="22"/>
        </w:rPr>
      </w:pPr>
      <w:r w:rsidRPr="00D576CE">
        <w:rPr>
          <w:rFonts w:ascii="Calibri" w:hAnsi="Calibri" w:cs="Calibri"/>
          <w:sz w:val="22"/>
          <w:szCs w:val="22"/>
        </w:rPr>
        <w:t>Hyper</w:t>
      </w:r>
      <w:r w:rsidR="009358BA">
        <w:rPr>
          <w:rFonts w:ascii="Calibri" w:hAnsi="Calibri" w:cs="Calibri"/>
          <w:sz w:val="22"/>
          <w:szCs w:val="22"/>
        </w:rPr>
        <w:t>-</w:t>
      </w:r>
      <w:r w:rsidRPr="00D576CE">
        <w:rPr>
          <w:rFonts w:ascii="Calibri" w:hAnsi="Calibri" w:cs="Calibri"/>
          <w:sz w:val="22"/>
          <w:szCs w:val="22"/>
        </w:rPr>
        <w:t>h</w:t>
      </w:r>
      <w:r w:rsidR="00C32217" w:rsidRPr="00D576CE">
        <w:rPr>
          <w:rFonts w:ascii="Calibri" w:hAnsi="Calibri" w:cs="Calibri"/>
          <w:sz w:val="22"/>
          <w:szCs w:val="22"/>
        </w:rPr>
        <w:t xml:space="preserve">ydration </w:t>
      </w:r>
      <w:r w:rsidR="00656B37" w:rsidRPr="00D576CE">
        <w:rPr>
          <w:rFonts w:ascii="Calibri" w:hAnsi="Calibri" w:cs="Calibri"/>
          <w:sz w:val="22"/>
          <w:szCs w:val="22"/>
        </w:rPr>
        <w:t>is usually given at 2000-3000ml/m</w:t>
      </w:r>
      <w:r w:rsidR="00656B37" w:rsidRPr="00D576CE">
        <w:rPr>
          <w:rFonts w:ascii="Calibri" w:hAnsi="Calibri" w:cs="Calibri"/>
          <w:sz w:val="22"/>
          <w:szCs w:val="22"/>
          <w:vertAlign w:val="superscript"/>
        </w:rPr>
        <w:t>2</w:t>
      </w:r>
      <w:r w:rsidR="00656B37" w:rsidRPr="00D576CE">
        <w:rPr>
          <w:rFonts w:ascii="Calibri" w:hAnsi="Calibri" w:cs="Calibri"/>
          <w:sz w:val="22"/>
          <w:szCs w:val="22"/>
        </w:rPr>
        <w:t>/day (84-125ml/m</w:t>
      </w:r>
      <w:r w:rsidR="00656B37" w:rsidRPr="00D576CE">
        <w:rPr>
          <w:rFonts w:ascii="Calibri" w:hAnsi="Calibri" w:cs="Calibri"/>
          <w:sz w:val="22"/>
          <w:szCs w:val="22"/>
          <w:vertAlign w:val="superscript"/>
        </w:rPr>
        <w:t>2</w:t>
      </w:r>
      <w:r w:rsidR="00656B37" w:rsidRPr="00D576CE">
        <w:rPr>
          <w:rFonts w:ascii="Calibri" w:hAnsi="Calibri" w:cs="Calibri"/>
          <w:sz w:val="22"/>
          <w:szCs w:val="22"/>
        </w:rPr>
        <w:t xml:space="preserve">/hour), </w:t>
      </w:r>
      <w:proofErr w:type="gramStart"/>
      <w:r w:rsidR="00656B37" w:rsidRPr="00D576CE">
        <w:rPr>
          <w:rFonts w:ascii="Calibri" w:hAnsi="Calibri" w:cs="Calibri"/>
          <w:sz w:val="22"/>
          <w:szCs w:val="22"/>
        </w:rPr>
        <w:t>taking into account</w:t>
      </w:r>
      <w:proofErr w:type="gramEnd"/>
      <w:r w:rsidR="00656B37" w:rsidRPr="00D576CE">
        <w:rPr>
          <w:rFonts w:ascii="Calibri" w:hAnsi="Calibri" w:cs="Calibri"/>
          <w:sz w:val="22"/>
          <w:szCs w:val="22"/>
        </w:rPr>
        <w:t xml:space="preserve"> the fluid volumes of the chemotherapy.</w:t>
      </w:r>
      <w:r w:rsidR="00254C23">
        <w:rPr>
          <w:rFonts w:ascii="Calibri" w:hAnsi="Calibri" w:cs="Calibri"/>
          <w:sz w:val="22"/>
          <w:szCs w:val="22"/>
        </w:rPr>
        <w:t xml:space="preserve"> </w:t>
      </w:r>
      <w:r w:rsidR="006C65EB" w:rsidRPr="00D576CE">
        <w:rPr>
          <w:rFonts w:ascii="Calibri" w:hAnsi="Calibri" w:cs="Calibri"/>
          <w:sz w:val="22"/>
          <w:szCs w:val="22"/>
        </w:rPr>
        <w:t>Higher rates e.g. 200ml/m</w:t>
      </w:r>
      <w:r w:rsidR="006C65EB" w:rsidRPr="00D576CE">
        <w:rPr>
          <w:rFonts w:ascii="Calibri" w:hAnsi="Calibri" w:cs="Calibri"/>
          <w:sz w:val="22"/>
          <w:szCs w:val="22"/>
          <w:vertAlign w:val="superscript"/>
        </w:rPr>
        <w:t>2</w:t>
      </w:r>
      <w:r w:rsidR="006C65EB" w:rsidRPr="00D576CE">
        <w:rPr>
          <w:rFonts w:ascii="Calibri" w:hAnsi="Calibri" w:cs="Calibri"/>
          <w:sz w:val="22"/>
          <w:szCs w:val="22"/>
        </w:rPr>
        <w:t>/hour for 3-4 hours may be required to pre</w:t>
      </w:r>
      <w:r w:rsidR="009358BA">
        <w:rPr>
          <w:rFonts w:ascii="Calibri" w:hAnsi="Calibri" w:cs="Calibri"/>
          <w:sz w:val="22"/>
          <w:szCs w:val="22"/>
        </w:rPr>
        <w:t>-</w:t>
      </w:r>
      <w:r w:rsidR="006C65EB" w:rsidRPr="00D576CE">
        <w:rPr>
          <w:rFonts w:ascii="Calibri" w:hAnsi="Calibri" w:cs="Calibri"/>
          <w:sz w:val="22"/>
          <w:szCs w:val="22"/>
        </w:rPr>
        <w:t>hydrate patients having cisplatin or melphalan.</w:t>
      </w:r>
    </w:p>
    <w:p w14:paraId="324740B0" w14:textId="77777777" w:rsidR="006C65EB" w:rsidRPr="00D576CE" w:rsidRDefault="006C65EB" w:rsidP="008C638D">
      <w:pPr>
        <w:jc w:val="both"/>
        <w:rPr>
          <w:rFonts w:ascii="Calibri" w:hAnsi="Calibri" w:cs="Calibri"/>
          <w:sz w:val="22"/>
          <w:szCs w:val="22"/>
        </w:rPr>
      </w:pPr>
    </w:p>
    <w:p w14:paraId="728960AC" w14:textId="77777777" w:rsidR="006C65EB" w:rsidRPr="00D576CE" w:rsidRDefault="006C65EB" w:rsidP="008C638D">
      <w:pPr>
        <w:jc w:val="both"/>
        <w:rPr>
          <w:rFonts w:ascii="Calibri" w:hAnsi="Calibri" w:cs="Calibri"/>
          <w:sz w:val="22"/>
          <w:szCs w:val="22"/>
        </w:rPr>
      </w:pPr>
      <w:r w:rsidRPr="00D576CE">
        <w:rPr>
          <w:rFonts w:ascii="Calibri" w:hAnsi="Calibri" w:cs="Calibri"/>
          <w:sz w:val="22"/>
          <w:szCs w:val="22"/>
        </w:rPr>
        <w:t>The volume of fluid should be capped at 4500ml per day</w:t>
      </w:r>
      <w:r w:rsidR="0038002C" w:rsidRPr="00D576CE">
        <w:rPr>
          <w:rFonts w:ascii="Calibri" w:hAnsi="Calibri" w:cs="Calibri"/>
          <w:sz w:val="22"/>
          <w:szCs w:val="22"/>
        </w:rPr>
        <w:t xml:space="preserve"> </w:t>
      </w:r>
      <w:r w:rsidR="00751948" w:rsidRPr="00D576CE">
        <w:rPr>
          <w:rFonts w:ascii="Calibri" w:hAnsi="Calibri" w:cs="Calibri"/>
          <w:sz w:val="22"/>
          <w:szCs w:val="22"/>
        </w:rPr>
        <w:t xml:space="preserve">(188ml/hour) </w:t>
      </w:r>
      <w:r w:rsidR="0038002C" w:rsidRPr="00D576CE">
        <w:rPr>
          <w:rFonts w:ascii="Calibri" w:hAnsi="Calibri" w:cs="Calibri"/>
          <w:sz w:val="22"/>
          <w:szCs w:val="22"/>
        </w:rPr>
        <w:t xml:space="preserve">unless otherwise stated in the protocol or as clinically indicated. </w:t>
      </w:r>
    </w:p>
    <w:p w14:paraId="1B4EA44B" w14:textId="77777777" w:rsidR="006C65EB" w:rsidRPr="00D576CE" w:rsidRDefault="006C65EB" w:rsidP="008C638D">
      <w:pPr>
        <w:jc w:val="both"/>
        <w:rPr>
          <w:rFonts w:ascii="Calibri" w:hAnsi="Calibri" w:cs="Calibri"/>
          <w:sz w:val="22"/>
          <w:szCs w:val="22"/>
        </w:rPr>
      </w:pPr>
    </w:p>
    <w:p w14:paraId="330183D3" w14:textId="79291C8F" w:rsidR="006C65EB" w:rsidRPr="00D576CE" w:rsidRDefault="006C65EB" w:rsidP="008C638D">
      <w:pPr>
        <w:jc w:val="both"/>
        <w:rPr>
          <w:rFonts w:ascii="Calibri" w:hAnsi="Calibri" w:cs="Calibri"/>
          <w:sz w:val="22"/>
          <w:szCs w:val="22"/>
        </w:rPr>
      </w:pPr>
      <w:r w:rsidRPr="00D576CE">
        <w:rPr>
          <w:rFonts w:ascii="Calibri" w:hAnsi="Calibri" w:cs="Calibri"/>
          <w:sz w:val="22"/>
          <w:szCs w:val="22"/>
        </w:rPr>
        <w:t>Note hydration above maintenance requirements can lead to fluid overload. Monitor strict fluid balance</w:t>
      </w:r>
      <w:r w:rsidR="002F44EA">
        <w:rPr>
          <w:rFonts w:ascii="Calibri" w:hAnsi="Calibri" w:cs="Calibri"/>
          <w:sz w:val="22"/>
          <w:szCs w:val="22"/>
        </w:rPr>
        <w:t>. If there is concern about a high</w:t>
      </w:r>
      <w:r w:rsidRPr="00D576CE">
        <w:rPr>
          <w:rFonts w:ascii="Calibri" w:hAnsi="Calibri" w:cs="Calibri"/>
          <w:sz w:val="22"/>
          <w:szCs w:val="22"/>
        </w:rPr>
        <w:t xml:space="preserve"> </w:t>
      </w:r>
      <w:r w:rsidR="002F44EA">
        <w:rPr>
          <w:rFonts w:ascii="Calibri" w:hAnsi="Calibri" w:cs="Calibri"/>
          <w:sz w:val="22"/>
          <w:szCs w:val="22"/>
        </w:rPr>
        <w:t xml:space="preserve">positive fluid balance assess for clinical features of fluid overload and treat accordingly. </w:t>
      </w:r>
    </w:p>
    <w:p w14:paraId="5C2B006E" w14:textId="77777777" w:rsidR="003C2E66" w:rsidRPr="00D576CE" w:rsidRDefault="003C2E66" w:rsidP="008C638D">
      <w:pPr>
        <w:jc w:val="both"/>
        <w:rPr>
          <w:rFonts w:ascii="Calibri" w:hAnsi="Calibri" w:cs="Calibri"/>
          <w:sz w:val="22"/>
          <w:szCs w:val="22"/>
        </w:rPr>
      </w:pPr>
    </w:p>
    <w:p w14:paraId="78BC6070" w14:textId="77777777" w:rsidR="00254C23" w:rsidRDefault="003C2E66" w:rsidP="008C638D">
      <w:pPr>
        <w:jc w:val="both"/>
        <w:rPr>
          <w:rFonts w:ascii="Calibri" w:hAnsi="Calibri" w:cs="Calibri"/>
          <w:sz w:val="22"/>
          <w:szCs w:val="22"/>
        </w:rPr>
      </w:pPr>
      <w:r w:rsidRPr="00D576CE">
        <w:rPr>
          <w:rFonts w:ascii="Calibri" w:hAnsi="Calibri" w:cs="Calibri"/>
          <w:sz w:val="22"/>
          <w:szCs w:val="22"/>
        </w:rPr>
        <w:t xml:space="preserve">Renal function should be monitored throughout chemotherapy with hydration. A daily Oncology Profile should be sufficient in most cases. </w:t>
      </w:r>
    </w:p>
    <w:p w14:paraId="6DCC98C7" w14:textId="77777777" w:rsidR="00975D8A" w:rsidRDefault="00975D8A" w:rsidP="008C638D">
      <w:pPr>
        <w:jc w:val="both"/>
        <w:rPr>
          <w:rFonts w:ascii="Calibri" w:hAnsi="Calibri" w:cs="Calibri"/>
          <w:sz w:val="22"/>
          <w:szCs w:val="22"/>
        </w:rPr>
      </w:pPr>
    </w:p>
    <w:p w14:paraId="5D0E004E" w14:textId="77777777" w:rsidR="00975D8A" w:rsidRDefault="00975D8A" w:rsidP="008C638D">
      <w:pPr>
        <w:jc w:val="both"/>
        <w:rPr>
          <w:rFonts w:ascii="Calibri" w:hAnsi="Calibri" w:cs="Calibri"/>
          <w:sz w:val="22"/>
          <w:szCs w:val="22"/>
        </w:rPr>
      </w:pPr>
    </w:p>
    <w:p w14:paraId="7D2E8D78" w14:textId="77777777" w:rsidR="003C2E66" w:rsidRPr="00D576CE" w:rsidRDefault="003C2E66" w:rsidP="008C638D">
      <w:pPr>
        <w:jc w:val="both"/>
        <w:rPr>
          <w:rFonts w:ascii="Calibri" w:hAnsi="Calibri" w:cs="Calibri"/>
          <w:b/>
          <w:sz w:val="22"/>
          <w:szCs w:val="22"/>
          <w:u w:val="single"/>
        </w:rPr>
      </w:pPr>
      <w:r w:rsidRPr="00D576CE">
        <w:rPr>
          <w:rFonts w:ascii="Calibri" w:hAnsi="Calibri" w:cs="Calibri"/>
          <w:b/>
          <w:sz w:val="22"/>
          <w:szCs w:val="22"/>
          <w:u w:val="single"/>
        </w:rPr>
        <w:t>CISPLATIN</w:t>
      </w:r>
    </w:p>
    <w:p w14:paraId="7DF62C53" w14:textId="77777777" w:rsidR="003C2E66" w:rsidRPr="00D576CE" w:rsidRDefault="003C2E66" w:rsidP="008C638D">
      <w:pPr>
        <w:jc w:val="both"/>
        <w:rPr>
          <w:rFonts w:ascii="Calibri" w:hAnsi="Calibri" w:cs="Calibri"/>
          <w:b/>
          <w:sz w:val="22"/>
          <w:szCs w:val="22"/>
          <w:u w:val="single"/>
        </w:rPr>
      </w:pPr>
    </w:p>
    <w:p w14:paraId="680F768B" w14:textId="6D538EDC" w:rsidR="002C3DD6" w:rsidRDefault="003C2E66" w:rsidP="008C638D">
      <w:pPr>
        <w:pStyle w:val="BodyA"/>
        <w:spacing w:after="0" w:line="240" w:lineRule="auto"/>
        <w:jc w:val="both"/>
      </w:pPr>
      <w:r w:rsidRPr="008D361B">
        <w:t>Cisplatin is usually given by intravenous infusion over six to twenty</w:t>
      </w:r>
      <w:r w:rsidR="0095753D">
        <w:t>-</w:t>
      </w:r>
      <w:r w:rsidRPr="008D361B">
        <w:t>four hours. Hyper</w:t>
      </w:r>
      <w:r w:rsidR="006C0DB2">
        <w:t>-</w:t>
      </w:r>
      <w:r w:rsidRPr="008D361B">
        <w:t xml:space="preserve">hydration is required from three hours before until twenty-four hours after completion of infusion. </w:t>
      </w:r>
      <w:r w:rsidR="002C3DD6">
        <w:t xml:space="preserve">Hydration fluids should contain potassium and magnesium to prevent </w:t>
      </w:r>
      <w:proofErr w:type="spellStart"/>
      <w:r w:rsidR="002C3DD6">
        <w:t>hypokalaemia</w:t>
      </w:r>
      <w:proofErr w:type="spellEnd"/>
      <w:r w:rsidR="002C3DD6">
        <w:t xml:space="preserve"> and hypomagnesaemia. </w:t>
      </w:r>
    </w:p>
    <w:p w14:paraId="34439F38" w14:textId="77777777" w:rsidR="008C638D" w:rsidRDefault="008C638D" w:rsidP="008C638D">
      <w:pPr>
        <w:pStyle w:val="BodyA"/>
        <w:spacing w:after="0" w:line="240" w:lineRule="auto"/>
        <w:jc w:val="both"/>
      </w:pPr>
    </w:p>
    <w:p w14:paraId="3769740A" w14:textId="42C678D2" w:rsidR="002F44EA" w:rsidRDefault="003C2E66" w:rsidP="008C638D">
      <w:pPr>
        <w:pStyle w:val="BodyA"/>
        <w:spacing w:after="0" w:line="240" w:lineRule="auto"/>
        <w:jc w:val="both"/>
      </w:pPr>
      <w:r w:rsidRPr="008D361B">
        <w:t>Mannitol should be used to force diuresis</w:t>
      </w:r>
      <w:r w:rsidR="002F44EA">
        <w:t>:</w:t>
      </w:r>
      <w:r w:rsidRPr="008D361B">
        <w:t xml:space="preserve"> </w:t>
      </w:r>
    </w:p>
    <w:p w14:paraId="353C6905" w14:textId="77777777" w:rsidR="002F44EA" w:rsidRDefault="002F44EA" w:rsidP="008C638D">
      <w:pPr>
        <w:pStyle w:val="BodyA"/>
        <w:spacing w:after="0" w:line="240" w:lineRule="auto"/>
        <w:jc w:val="both"/>
      </w:pPr>
    </w:p>
    <w:p w14:paraId="213FF053" w14:textId="5276DE56" w:rsidR="002C3DD6" w:rsidRDefault="002C3DD6" w:rsidP="008C638D">
      <w:pPr>
        <w:pStyle w:val="BodyA"/>
        <w:spacing w:after="0" w:line="240" w:lineRule="auto"/>
        <w:jc w:val="both"/>
      </w:pPr>
      <w:r>
        <w:t>Mannitol 10% is given at a rate of 15ml/m</w:t>
      </w:r>
      <w:r w:rsidRPr="002C3DD6">
        <w:rPr>
          <w:vertAlign w:val="superscript"/>
        </w:rPr>
        <w:t>2</w:t>
      </w:r>
      <w:r>
        <w:t>/hour during and for six hours after the end of the cisplatin infusion.</w:t>
      </w:r>
    </w:p>
    <w:p w14:paraId="2CF376D9" w14:textId="77777777" w:rsidR="008C638D" w:rsidRDefault="008C638D" w:rsidP="008C638D">
      <w:pPr>
        <w:pStyle w:val="BodyA"/>
        <w:spacing w:after="0" w:line="240" w:lineRule="auto"/>
        <w:jc w:val="both"/>
      </w:pPr>
    </w:p>
    <w:p w14:paraId="13231C61" w14:textId="77777777" w:rsidR="002C3DD6" w:rsidRDefault="002C3DD6" w:rsidP="008C638D">
      <w:pPr>
        <w:pStyle w:val="BodyA"/>
        <w:spacing w:after="0" w:line="240" w:lineRule="auto"/>
        <w:jc w:val="both"/>
      </w:pPr>
      <w:r w:rsidRPr="008D361B">
        <w:t xml:space="preserve">Strict fluid balance is necessary. </w:t>
      </w:r>
      <w:r>
        <w:t>If urine output falls below 3ml/kg/hour for two hours a short infusion of mannitol 10% 5ml/kg should be given over 15-30 minutes.</w:t>
      </w:r>
    </w:p>
    <w:p w14:paraId="45047BE5" w14:textId="77777777" w:rsidR="008C638D" w:rsidRDefault="008C638D" w:rsidP="008C638D">
      <w:pPr>
        <w:pStyle w:val="BodyA"/>
        <w:spacing w:after="0" w:line="240" w:lineRule="auto"/>
        <w:jc w:val="both"/>
      </w:pPr>
    </w:p>
    <w:p w14:paraId="5811E50B" w14:textId="77777777" w:rsidR="003C2E66" w:rsidRDefault="003C2E66" w:rsidP="008C638D">
      <w:pPr>
        <w:pStyle w:val="BodyA"/>
        <w:spacing w:after="0" w:line="240" w:lineRule="auto"/>
        <w:jc w:val="both"/>
      </w:pPr>
      <w:r w:rsidRPr="008D361B">
        <w:t xml:space="preserve">Furosemide should be avoided due to additive </w:t>
      </w:r>
      <w:proofErr w:type="spellStart"/>
      <w:r w:rsidRPr="008D361B">
        <w:t>oto</w:t>
      </w:r>
      <w:proofErr w:type="spellEnd"/>
      <w:r w:rsidRPr="008D361B">
        <w:t>- and nephrotoxicity.</w:t>
      </w:r>
    </w:p>
    <w:p w14:paraId="418CC391" w14:textId="77777777" w:rsidR="003C2E66" w:rsidRDefault="003C2E66" w:rsidP="008C638D">
      <w:pPr>
        <w:jc w:val="both"/>
        <w:rPr>
          <w:rFonts w:ascii="Calibri" w:hAnsi="Calibri" w:cs="Calibri"/>
          <w:sz w:val="22"/>
          <w:szCs w:val="22"/>
        </w:rPr>
      </w:pPr>
    </w:p>
    <w:p w14:paraId="50377315" w14:textId="77777777" w:rsidR="008C638D" w:rsidRPr="00D576CE" w:rsidRDefault="008C638D" w:rsidP="008C638D">
      <w:pPr>
        <w:jc w:val="both"/>
        <w:rPr>
          <w:rFonts w:ascii="Calibri" w:hAnsi="Calibri" w:cs="Calibri"/>
          <w:sz w:val="22"/>
          <w:szCs w:val="22"/>
        </w:rPr>
      </w:pPr>
    </w:p>
    <w:p w14:paraId="7A46CB8F" w14:textId="77777777" w:rsidR="00F16E19" w:rsidRPr="00D576CE" w:rsidRDefault="00F16E19" w:rsidP="008C638D">
      <w:pPr>
        <w:jc w:val="both"/>
        <w:rPr>
          <w:rFonts w:ascii="Calibri" w:hAnsi="Calibri" w:cs="Calibri"/>
          <w:b/>
          <w:sz w:val="22"/>
          <w:szCs w:val="22"/>
          <w:u w:val="single"/>
        </w:rPr>
      </w:pPr>
      <w:r w:rsidRPr="00D576CE">
        <w:rPr>
          <w:rFonts w:ascii="Calibri" w:hAnsi="Calibri" w:cs="Calibri"/>
          <w:b/>
          <w:sz w:val="22"/>
          <w:szCs w:val="22"/>
          <w:u w:val="single"/>
        </w:rPr>
        <w:t>CYCLOPHOSPHAMIDE AND IFOSFAMIDE</w:t>
      </w:r>
    </w:p>
    <w:p w14:paraId="08FC327A" w14:textId="77777777" w:rsidR="00751948" w:rsidRPr="00D576CE" w:rsidRDefault="00751948" w:rsidP="008C638D">
      <w:pPr>
        <w:jc w:val="both"/>
        <w:rPr>
          <w:rFonts w:ascii="Calibri" w:hAnsi="Calibri" w:cs="Calibri"/>
          <w:b/>
          <w:sz w:val="22"/>
          <w:szCs w:val="22"/>
          <w:u w:val="single"/>
        </w:rPr>
      </w:pPr>
    </w:p>
    <w:p w14:paraId="4E2919CF" w14:textId="02D3EDE7" w:rsidR="005A1983" w:rsidRDefault="00751948" w:rsidP="008C638D">
      <w:pPr>
        <w:pStyle w:val="BodyA"/>
        <w:spacing w:after="0" w:line="240" w:lineRule="auto"/>
        <w:jc w:val="both"/>
      </w:pPr>
      <w:r w:rsidRPr="00163B92">
        <w:t xml:space="preserve">Cyclophosphamide and </w:t>
      </w:r>
      <w:proofErr w:type="spellStart"/>
      <w:r w:rsidRPr="00163B92">
        <w:t>ifosfamide</w:t>
      </w:r>
      <w:proofErr w:type="spellEnd"/>
      <w:r w:rsidRPr="00163B92">
        <w:t xml:space="preserve"> are both prodrugs that </w:t>
      </w:r>
      <w:r w:rsidR="006420EB">
        <w:t>are</w:t>
      </w:r>
      <w:r w:rsidRPr="00163B92">
        <w:t xml:space="preserve"> </w:t>
      </w:r>
      <w:proofErr w:type="spellStart"/>
      <w:r w:rsidRPr="00163B92">
        <w:t>metabolised</w:t>
      </w:r>
      <w:proofErr w:type="spellEnd"/>
      <w:r w:rsidRPr="00163B92">
        <w:t xml:space="preserve"> in the liver to produce the active cytotoxic compound. This metabolism also produces acrolein that is thought to be responsible for </w:t>
      </w:r>
      <w:proofErr w:type="spellStart"/>
      <w:r w:rsidRPr="00163B92">
        <w:t>haemorrhagic</w:t>
      </w:r>
      <w:proofErr w:type="spellEnd"/>
      <w:r w:rsidRPr="00163B92">
        <w:t xml:space="preserve"> cystitis: </w:t>
      </w:r>
      <w:proofErr w:type="spellStart"/>
      <w:r w:rsidRPr="00163B92">
        <w:t>mesna</w:t>
      </w:r>
      <w:proofErr w:type="spellEnd"/>
      <w:r w:rsidRPr="00163B92">
        <w:t xml:space="preserve"> protects against this comp</w:t>
      </w:r>
      <w:r>
        <w:t>lication by binding to acrolein.</w:t>
      </w:r>
    </w:p>
    <w:p w14:paraId="19CFE97A" w14:textId="77777777" w:rsidR="008C638D" w:rsidRDefault="008C638D" w:rsidP="008C638D">
      <w:pPr>
        <w:pStyle w:val="BodyA"/>
        <w:spacing w:after="0" w:line="240" w:lineRule="auto"/>
        <w:jc w:val="both"/>
      </w:pPr>
    </w:p>
    <w:p w14:paraId="583CA78A" w14:textId="5315F956" w:rsidR="005A1983" w:rsidRDefault="005A1983" w:rsidP="008C638D">
      <w:pPr>
        <w:pStyle w:val="BodyA"/>
        <w:spacing w:after="0" w:line="240" w:lineRule="auto"/>
        <w:jc w:val="both"/>
      </w:pPr>
      <w:r w:rsidRPr="005A1983">
        <w:t xml:space="preserve">It is essential that children receiving </w:t>
      </w:r>
      <w:proofErr w:type="spellStart"/>
      <w:r w:rsidRPr="005A1983">
        <w:t>ifosfamide</w:t>
      </w:r>
      <w:proofErr w:type="spellEnd"/>
      <w:r w:rsidRPr="005A1983">
        <w:t xml:space="preserve"> or higher dose cyclophosphamide pass urine at least every </w:t>
      </w:r>
      <w:r w:rsidR="00DF3B7B">
        <w:t xml:space="preserve">  </w:t>
      </w:r>
      <w:r w:rsidRPr="005A1983">
        <w:t xml:space="preserve">4 hours, as this </w:t>
      </w:r>
      <w:proofErr w:type="spellStart"/>
      <w:r w:rsidRPr="005A1983">
        <w:t>minimises</w:t>
      </w:r>
      <w:proofErr w:type="spellEnd"/>
      <w:r w:rsidRPr="005A1983">
        <w:t xml:space="preserve"> bladder toxicity.  They should be encouraged to pass urine, and if </w:t>
      </w:r>
      <w:r w:rsidR="003525FA">
        <w:t xml:space="preserve">indicated </w:t>
      </w:r>
      <w:r w:rsidR="00EC05E4">
        <w:t xml:space="preserve">IV </w:t>
      </w:r>
      <w:r w:rsidRPr="005A1983">
        <w:t>f</w:t>
      </w:r>
      <w:r>
        <w:t>uro</w:t>
      </w:r>
      <w:r w:rsidRPr="005A1983">
        <w:t>semide should be given.</w:t>
      </w:r>
      <w:r w:rsidR="003525FA">
        <w:t xml:space="preserve"> </w:t>
      </w:r>
    </w:p>
    <w:p w14:paraId="29F43825" w14:textId="77777777" w:rsidR="008C638D" w:rsidRDefault="008C638D" w:rsidP="008C638D">
      <w:pPr>
        <w:pStyle w:val="BodyA"/>
        <w:spacing w:after="0" w:line="240" w:lineRule="auto"/>
        <w:jc w:val="both"/>
      </w:pPr>
    </w:p>
    <w:p w14:paraId="191AA335" w14:textId="77777777" w:rsidR="00AA4E2B" w:rsidRDefault="00AA4E2B" w:rsidP="008C638D">
      <w:pPr>
        <w:pStyle w:val="BodyA"/>
        <w:spacing w:after="0" w:line="240" w:lineRule="auto"/>
        <w:jc w:val="both"/>
      </w:pPr>
      <w:r w:rsidRPr="00163B92">
        <w:t xml:space="preserve">Strict fluid balance is required. Urinalysis should be done </w:t>
      </w:r>
      <w:r w:rsidR="00E44EE0">
        <w:t>on every urine</w:t>
      </w:r>
      <w:r w:rsidRPr="00163B92">
        <w:t xml:space="preserve"> to check for blood. It should be noted that </w:t>
      </w:r>
      <w:proofErr w:type="spellStart"/>
      <w:r w:rsidRPr="00163B92">
        <w:t>mesna</w:t>
      </w:r>
      <w:proofErr w:type="spellEnd"/>
      <w:r w:rsidRPr="00163B92">
        <w:t xml:space="preserve"> can cause false positive results for ketone bodies in dipstick tests. </w:t>
      </w:r>
    </w:p>
    <w:p w14:paraId="2DF3F1D6" w14:textId="77777777" w:rsidR="00AA4E2B" w:rsidRDefault="00AA4E2B" w:rsidP="008C638D">
      <w:pPr>
        <w:pStyle w:val="BodyA"/>
        <w:spacing w:after="0" w:line="240" w:lineRule="auto"/>
        <w:jc w:val="both"/>
        <w:rPr>
          <w:b/>
        </w:rPr>
      </w:pPr>
    </w:p>
    <w:p w14:paraId="02916075" w14:textId="77777777" w:rsidR="00751948" w:rsidRDefault="00751948" w:rsidP="008C638D">
      <w:pPr>
        <w:pStyle w:val="BodyA"/>
        <w:spacing w:after="0" w:line="240" w:lineRule="auto"/>
        <w:jc w:val="both"/>
        <w:rPr>
          <w:b/>
        </w:rPr>
      </w:pPr>
      <w:r w:rsidRPr="00751948">
        <w:rPr>
          <w:b/>
        </w:rPr>
        <w:t>Cyclophosphamide doses &gt; 1g/m</w:t>
      </w:r>
      <w:r w:rsidRPr="00751948">
        <w:rPr>
          <w:b/>
          <w:vertAlign w:val="superscript"/>
        </w:rPr>
        <w:t>2</w:t>
      </w:r>
      <w:r w:rsidRPr="00751948">
        <w:rPr>
          <w:b/>
        </w:rPr>
        <w:t xml:space="preserve"> and </w:t>
      </w:r>
      <w:r w:rsidR="00C8494D">
        <w:rPr>
          <w:b/>
        </w:rPr>
        <w:t xml:space="preserve">all </w:t>
      </w:r>
      <w:proofErr w:type="spellStart"/>
      <w:r w:rsidR="00C8494D">
        <w:rPr>
          <w:b/>
        </w:rPr>
        <w:t>i</w:t>
      </w:r>
      <w:r w:rsidRPr="00751948">
        <w:rPr>
          <w:b/>
        </w:rPr>
        <w:t>fosfamide</w:t>
      </w:r>
      <w:proofErr w:type="spellEnd"/>
      <w:r w:rsidRPr="00751948">
        <w:rPr>
          <w:b/>
        </w:rPr>
        <w:t xml:space="preserve"> doses:</w:t>
      </w:r>
    </w:p>
    <w:p w14:paraId="1E2E2772" w14:textId="77777777" w:rsidR="005A1983" w:rsidRDefault="00B301CA" w:rsidP="008C638D">
      <w:pPr>
        <w:pStyle w:val="BodyA"/>
        <w:spacing w:after="0" w:line="240" w:lineRule="auto"/>
        <w:jc w:val="both"/>
      </w:pPr>
      <w:proofErr w:type="spellStart"/>
      <w:r>
        <w:t>Mesna</w:t>
      </w:r>
      <w:proofErr w:type="spellEnd"/>
      <w:r>
        <w:t xml:space="preserve"> is given alongside hyper</w:t>
      </w:r>
      <w:r w:rsidR="00E07E84">
        <w:t>-</w:t>
      </w:r>
      <w:r>
        <w:t>hydration for cyclophosphamide doses above 1g/m</w:t>
      </w:r>
      <w:r w:rsidRPr="00B301CA">
        <w:rPr>
          <w:vertAlign w:val="superscript"/>
        </w:rPr>
        <w:t>2</w:t>
      </w:r>
      <w:r>
        <w:t xml:space="preserve"> and for all </w:t>
      </w:r>
      <w:proofErr w:type="spellStart"/>
      <w:r>
        <w:t>ifosfamide</w:t>
      </w:r>
      <w:proofErr w:type="spellEnd"/>
      <w:r>
        <w:t xml:space="preserve"> doses. </w:t>
      </w:r>
      <w:r w:rsidR="005A1983">
        <w:t xml:space="preserve">Where there are compatibility issues it may be necessary to interrupt the </w:t>
      </w:r>
      <w:proofErr w:type="spellStart"/>
      <w:r w:rsidR="005A1983">
        <w:t>mesna</w:t>
      </w:r>
      <w:proofErr w:type="spellEnd"/>
      <w:r w:rsidR="005A1983">
        <w:t xml:space="preserve"> infusion and give boluses of </w:t>
      </w:r>
      <w:proofErr w:type="spellStart"/>
      <w:r w:rsidR="005A1983">
        <w:t>mesna</w:t>
      </w:r>
      <w:proofErr w:type="spellEnd"/>
      <w:r w:rsidR="005A1983">
        <w:t>. Contact the oncology</w:t>
      </w:r>
      <w:r w:rsidR="002F408F">
        <w:t>/</w:t>
      </w:r>
      <w:proofErr w:type="spellStart"/>
      <w:r w:rsidR="002F408F">
        <w:t>haematology</w:t>
      </w:r>
      <w:proofErr w:type="spellEnd"/>
      <w:r w:rsidR="005A1983">
        <w:t xml:space="preserve"> pharmacist for advice.</w:t>
      </w:r>
    </w:p>
    <w:p w14:paraId="6BAC0A12" w14:textId="77777777" w:rsidR="008C638D" w:rsidRDefault="008C638D" w:rsidP="008C638D">
      <w:pPr>
        <w:pStyle w:val="BodyA"/>
        <w:spacing w:after="0" w:line="240" w:lineRule="auto"/>
        <w:jc w:val="both"/>
      </w:pPr>
    </w:p>
    <w:p w14:paraId="420B3439" w14:textId="77777777" w:rsidR="00AA4E2B" w:rsidRDefault="00AA4E2B" w:rsidP="008C638D">
      <w:pPr>
        <w:pStyle w:val="BodyA"/>
        <w:spacing w:after="0" w:line="240" w:lineRule="auto"/>
        <w:jc w:val="both"/>
      </w:pPr>
      <w:proofErr w:type="spellStart"/>
      <w:r>
        <w:t>Mesna</w:t>
      </w:r>
      <w:proofErr w:type="spellEnd"/>
      <w:r>
        <w:t xml:space="preserve"> can be given orally at consultant discretion. The bioavailability of oral </w:t>
      </w:r>
      <w:proofErr w:type="spellStart"/>
      <w:r>
        <w:t>mesna</w:t>
      </w:r>
      <w:proofErr w:type="spellEnd"/>
      <w:r>
        <w:t xml:space="preserve"> is 50%.</w:t>
      </w:r>
    </w:p>
    <w:p w14:paraId="42DF46E6" w14:textId="77777777" w:rsidR="008C638D" w:rsidRDefault="008C638D" w:rsidP="008C638D">
      <w:pPr>
        <w:pStyle w:val="BodyA"/>
        <w:spacing w:after="0" w:line="240" w:lineRule="auto"/>
        <w:jc w:val="both"/>
      </w:pPr>
    </w:p>
    <w:p w14:paraId="0AAFB761" w14:textId="18A601B3" w:rsidR="00B301CA" w:rsidRPr="00751948" w:rsidRDefault="005A1983" w:rsidP="008C638D">
      <w:pPr>
        <w:pStyle w:val="BodyA"/>
        <w:spacing w:after="0" w:line="240" w:lineRule="auto"/>
        <w:jc w:val="both"/>
        <w:rPr>
          <w:b/>
        </w:rPr>
      </w:pPr>
      <w:r>
        <w:t xml:space="preserve">When prescribing </w:t>
      </w:r>
      <w:proofErr w:type="spellStart"/>
      <w:r>
        <w:t>mesna</w:t>
      </w:r>
      <w:proofErr w:type="spellEnd"/>
      <w:r>
        <w:t xml:space="preserve"> </w:t>
      </w:r>
      <w:r w:rsidR="004E6354">
        <w:t xml:space="preserve">and hydration </w:t>
      </w:r>
      <w:r w:rsidR="008C638D">
        <w:t>always refer to the chemotherapy</w:t>
      </w:r>
      <w:r>
        <w:t xml:space="preserve"> protocol. If this differs from the guidance below</w:t>
      </w:r>
      <w:r w:rsidR="0095753D">
        <w:t>,</w:t>
      </w:r>
      <w:r>
        <w:t xml:space="preserve"> discuss with the oncology</w:t>
      </w:r>
      <w:r w:rsidR="002F408F">
        <w:t>/</w:t>
      </w:r>
      <w:proofErr w:type="spellStart"/>
      <w:r w:rsidR="002F408F">
        <w:t>haematology</w:t>
      </w:r>
      <w:proofErr w:type="spellEnd"/>
      <w:r>
        <w:t xml:space="preserve"> pharmacist or consultant before prescribing.</w:t>
      </w:r>
    </w:p>
    <w:p w14:paraId="61B72EAC" w14:textId="6DEB77F0" w:rsidR="00751948" w:rsidRDefault="00751948" w:rsidP="008C638D">
      <w:pPr>
        <w:pStyle w:val="BodyA"/>
        <w:numPr>
          <w:ilvl w:val="0"/>
          <w:numId w:val="17"/>
        </w:numPr>
        <w:spacing w:after="0" w:line="240" w:lineRule="auto"/>
        <w:ind w:left="714" w:hanging="357"/>
        <w:jc w:val="both"/>
      </w:pPr>
      <w:r>
        <w:t xml:space="preserve">Intravenous hydration with </w:t>
      </w:r>
      <w:r w:rsidR="003525FA" w:rsidRPr="00D576CE">
        <w:t xml:space="preserve">2.5% glucose, 0.45% sodium chloride and potassium chloride 20mmol/L </w:t>
      </w:r>
      <w:r>
        <w:t>at a rate of 125ml/m</w:t>
      </w:r>
      <w:r w:rsidRPr="00751948">
        <w:rPr>
          <w:vertAlign w:val="superscript"/>
        </w:rPr>
        <w:t>2</w:t>
      </w:r>
      <w:r>
        <w:t xml:space="preserve">/hour (max 188ml/hour) starting 3 hours before cyclophosphamide or </w:t>
      </w:r>
      <w:proofErr w:type="spellStart"/>
      <w:r>
        <w:t>ifosfamide</w:t>
      </w:r>
      <w:proofErr w:type="spellEnd"/>
      <w:r>
        <w:t xml:space="preserve"> and continuing for a minimum of 12 hours after completion of the last dose of cyclophosphamide or </w:t>
      </w:r>
      <w:proofErr w:type="spellStart"/>
      <w:r>
        <w:t>ifosfamide</w:t>
      </w:r>
      <w:proofErr w:type="spellEnd"/>
      <w:r>
        <w:t>.</w:t>
      </w:r>
    </w:p>
    <w:p w14:paraId="4B865A85" w14:textId="77777777" w:rsidR="008C638D" w:rsidRDefault="008C638D" w:rsidP="008C638D">
      <w:pPr>
        <w:pStyle w:val="BodyA"/>
        <w:spacing w:after="0" w:line="240" w:lineRule="auto"/>
        <w:ind w:left="714"/>
        <w:jc w:val="both"/>
      </w:pPr>
    </w:p>
    <w:p w14:paraId="7C4B7894" w14:textId="77777777" w:rsidR="00751948" w:rsidRDefault="00751948" w:rsidP="008C638D">
      <w:pPr>
        <w:pStyle w:val="BodyA"/>
        <w:numPr>
          <w:ilvl w:val="0"/>
          <w:numId w:val="17"/>
        </w:numPr>
        <w:spacing w:after="0" w:line="240" w:lineRule="auto"/>
        <w:ind w:left="714" w:hanging="357"/>
        <w:jc w:val="both"/>
      </w:pPr>
      <w:proofErr w:type="spellStart"/>
      <w:r>
        <w:t>Mesna</w:t>
      </w:r>
      <w:proofErr w:type="spellEnd"/>
      <w:r>
        <w:t xml:space="preserve"> is given alongside intravenous hydration at 120% (mg/mg) of the </w:t>
      </w:r>
      <w:r w:rsidR="004A1A69">
        <w:t xml:space="preserve">total daily </w:t>
      </w:r>
      <w:r>
        <w:t xml:space="preserve">cyclophosphamide or </w:t>
      </w:r>
      <w:proofErr w:type="spellStart"/>
      <w:r>
        <w:t>ifosfamide</w:t>
      </w:r>
      <w:proofErr w:type="spellEnd"/>
      <w:r>
        <w:t xml:space="preserve"> dose. </w:t>
      </w:r>
      <w:proofErr w:type="spellStart"/>
      <w:r w:rsidR="00123108">
        <w:t>Mesna</w:t>
      </w:r>
      <w:proofErr w:type="spellEnd"/>
      <w:r w:rsidR="00123108">
        <w:t xml:space="preserve"> syringes are prepared by nursing staff on the ward</w:t>
      </w:r>
      <w:r w:rsidR="00EC05E4">
        <w:t xml:space="preserve"> as follows</w:t>
      </w:r>
      <w:r w:rsidR="00123108">
        <w:t xml:space="preserve">. </w:t>
      </w:r>
    </w:p>
    <w:p w14:paraId="765DC4EA" w14:textId="77777777" w:rsidR="008C638D" w:rsidRDefault="008C638D" w:rsidP="008C638D">
      <w:pPr>
        <w:pStyle w:val="BodyA"/>
        <w:spacing w:after="0" w:line="240" w:lineRule="auto"/>
        <w:jc w:val="both"/>
      </w:pPr>
    </w:p>
    <w:p w14:paraId="06584EA8" w14:textId="77777777" w:rsidR="00123108" w:rsidRDefault="00123108" w:rsidP="008C638D">
      <w:pPr>
        <w:pStyle w:val="BodyA"/>
        <w:numPr>
          <w:ilvl w:val="1"/>
          <w:numId w:val="19"/>
        </w:numPr>
        <w:spacing w:after="0" w:line="240" w:lineRule="auto"/>
        <w:jc w:val="both"/>
      </w:pPr>
      <w:proofErr w:type="spellStart"/>
      <w:r>
        <w:t>Mesna</w:t>
      </w:r>
      <w:proofErr w:type="spellEnd"/>
      <w:r>
        <w:t xml:space="preserve"> to run alongside pre</w:t>
      </w:r>
      <w:r w:rsidR="00416E24">
        <w:t>-</w:t>
      </w:r>
      <w:r>
        <w:t xml:space="preserve">hydration will be prepared in 50ml sodium chloride 0.9% for patients &gt;10kg and 24ml for patients &lt; 10kg. </w:t>
      </w:r>
    </w:p>
    <w:p w14:paraId="04CE2A13" w14:textId="77777777" w:rsidR="00123108" w:rsidRDefault="00123108" w:rsidP="008C638D">
      <w:pPr>
        <w:pStyle w:val="BodyA"/>
        <w:numPr>
          <w:ilvl w:val="1"/>
          <w:numId w:val="19"/>
        </w:numPr>
        <w:spacing w:after="0" w:line="240" w:lineRule="auto"/>
        <w:ind w:hanging="357"/>
        <w:jc w:val="both"/>
      </w:pPr>
      <w:proofErr w:type="spellStart"/>
      <w:r>
        <w:t>Mesna</w:t>
      </w:r>
      <w:proofErr w:type="spellEnd"/>
      <w:r>
        <w:t xml:space="preserve"> to run alongside post hydration will be prepared in multiples of 48ml:</w:t>
      </w:r>
    </w:p>
    <w:p w14:paraId="7430C05D" w14:textId="77777777" w:rsidR="00123108" w:rsidRDefault="00123108" w:rsidP="00DF3B7B">
      <w:pPr>
        <w:pStyle w:val="BodyA"/>
        <w:numPr>
          <w:ilvl w:val="2"/>
          <w:numId w:val="23"/>
        </w:numPr>
        <w:spacing w:after="0" w:line="240" w:lineRule="auto"/>
        <w:jc w:val="both"/>
      </w:pPr>
      <w:r>
        <w:t>&lt;4800mg will be in one syringe of 48ml over 24 hours at 2ml/hour</w:t>
      </w:r>
    </w:p>
    <w:p w14:paraId="0D50A919" w14:textId="77777777" w:rsidR="00254C23" w:rsidRPr="00975D8A" w:rsidRDefault="00123108" w:rsidP="00DF3B7B">
      <w:pPr>
        <w:pStyle w:val="BodyA"/>
        <w:numPr>
          <w:ilvl w:val="2"/>
          <w:numId w:val="23"/>
        </w:numPr>
        <w:spacing w:after="0" w:line="240" w:lineRule="auto"/>
        <w:jc w:val="both"/>
      </w:pPr>
      <w:r>
        <w:t>&gt;4800mg will be evenly split into 2 x 48ml syringes, each to run over 12 hours at 4ml/hour</w:t>
      </w:r>
    </w:p>
    <w:p w14:paraId="6A73DA8D" w14:textId="77777777" w:rsidR="00254C23" w:rsidRDefault="00254C23" w:rsidP="008C638D">
      <w:pPr>
        <w:pStyle w:val="BodyA"/>
        <w:spacing w:after="0" w:line="240" w:lineRule="auto"/>
        <w:jc w:val="both"/>
        <w:rPr>
          <w:b/>
        </w:rPr>
      </w:pPr>
    </w:p>
    <w:p w14:paraId="79945572" w14:textId="77777777" w:rsidR="00123108" w:rsidRPr="00573492" w:rsidRDefault="00573492" w:rsidP="008C638D">
      <w:pPr>
        <w:pStyle w:val="BodyA"/>
        <w:spacing w:after="0" w:line="240" w:lineRule="auto"/>
        <w:jc w:val="both"/>
        <w:rPr>
          <w:b/>
        </w:rPr>
      </w:pPr>
      <w:r w:rsidRPr="00573492">
        <w:rPr>
          <w:b/>
        </w:rPr>
        <w:t>Cyclophosphamide 300mg/m</w:t>
      </w:r>
      <w:r w:rsidRPr="00573492">
        <w:rPr>
          <w:b/>
          <w:vertAlign w:val="superscript"/>
        </w:rPr>
        <w:t>2</w:t>
      </w:r>
      <w:r w:rsidRPr="00573492">
        <w:rPr>
          <w:b/>
        </w:rPr>
        <w:t xml:space="preserve"> – 1g/m</w:t>
      </w:r>
      <w:r w:rsidRPr="00573492">
        <w:rPr>
          <w:b/>
          <w:vertAlign w:val="superscript"/>
        </w:rPr>
        <w:t>2</w:t>
      </w:r>
    </w:p>
    <w:p w14:paraId="4A9EEAC7" w14:textId="77777777" w:rsidR="00573492" w:rsidRDefault="00573492" w:rsidP="008C638D">
      <w:pPr>
        <w:pStyle w:val="BodyA"/>
        <w:numPr>
          <w:ilvl w:val="0"/>
          <w:numId w:val="20"/>
        </w:numPr>
        <w:spacing w:after="0" w:line="240" w:lineRule="auto"/>
        <w:jc w:val="both"/>
      </w:pPr>
      <w:proofErr w:type="spellStart"/>
      <w:r>
        <w:t>Mesna</w:t>
      </w:r>
      <w:proofErr w:type="spellEnd"/>
      <w:r>
        <w:t xml:space="preserve"> is not required</w:t>
      </w:r>
    </w:p>
    <w:p w14:paraId="4DA1B194" w14:textId="25EA0B7A" w:rsidR="00573492" w:rsidRDefault="00573492" w:rsidP="008C638D">
      <w:pPr>
        <w:pStyle w:val="BodyA"/>
        <w:numPr>
          <w:ilvl w:val="0"/>
          <w:numId w:val="20"/>
        </w:numPr>
        <w:spacing w:after="0" w:line="240" w:lineRule="auto"/>
        <w:jc w:val="both"/>
      </w:pPr>
      <w:r>
        <w:t xml:space="preserve">Intravenous hydration </w:t>
      </w:r>
      <w:r w:rsidR="00C8494D">
        <w:t>at 125ml/m</w:t>
      </w:r>
      <w:r w:rsidR="00C8494D" w:rsidRPr="00C8494D">
        <w:rPr>
          <w:vertAlign w:val="superscript"/>
        </w:rPr>
        <w:t>2</w:t>
      </w:r>
      <w:r w:rsidR="00C8494D">
        <w:t xml:space="preserve">/hour </w:t>
      </w:r>
      <w:r>
        <w:t>starting with or before the first cyclophosphamide dose</w:t>
      </w:r>
      <w:r w:rsidR="00A151AC">
        <w:t xml:space="preserve"> </w:t>
      </w:r>
      <w:r>
        <w:t>and continuing for at least six hours after the last dose.</w:t>
      </w:r>
    </w:p>
    <w:p w14:paraId="4F265A13" w14:textId="77777777" w:rsidR="008C638D" w:rsidRDefault="008C638D" w:rsidP="008C638D">
      <w:pPr>
        <w:pStyle w:val="BodyA"/>
        <w:spacing w:after="0" w:line="240" w:lineRule="auto"/>
        <w:ind w:left="720"/>
        <w:jc w:val="both"/>
      </w:pPr>
    </w:p>
    <w:p w14:paraId="0D5A668B" w14:textId="77777777" w:rsidR="00573492" w:rsidRPr="00573492" w:rsidRDefault="00573492" w:rsidP="008C638D">
      <w:pPr>
        <w:pStyle w:val="BodyA"/>
        <w:spacing w:after="0" w:line="240" w:lineRule="auto"/>
        <w:jc w:val="both"/>
        <w:rPr>
          <w:b/>
        </w:rPr>
      </w:pPr>
      <w:r w:rsidRPr="00573492">
        <w:rPr>
          <w:b/>
        </w:rPr>
        <w:t>Cyclophosphamide &lt; 300mg/m</w:t>
      </w:r>
      <w:r w:rsidRPr="00573492">
        <w:rPr>
          <w:b/>
          <w:vertAlign w:val="superscript"/>
        </w:rPr>
        <w:t>2</w:t>
      </w:r>
    </w:p>
    <w:p w14:paraId="601C9B97" w14:textId="116F7C6E" w:rsidR="00573492" w:rsidRDefault="00573492" w:rsidP="008C638D">
      <w:pPr>
        <w:pStyle w:val="BodyA"/>
        <w:numPr>
          <w:ilvl w:val="0"/>
          <w:numId w:val="21"/>
        </w:numPr>
        <w:spacing w:after="0" w:line="240" w:lineRule="auto"/>
        <w:jc w:val="both"/>
      </w:pPr>
      <w:proofErr w:type="spellStart"/>
      <w:r>
        <w:t>Mesna</w:t>
      </w:r>
      <w:proofErr w:type="spellEnd"/>
      <w:r>
        <w:t xml:space="preserve"> and intravenous hydration not required</w:t>
      </w:r>
      <w:r w:rsidR="0095753D">
        <w:t>,</w:t>
      </w:r>
      <w:r>
        <w:t xml:space="preserve"> providing there is adequate oral fluid input and micturition is encouraged. </w:t>
      </w:r>
    </w:p>
    <w:p w14:paraId="4489D96E" w14:textId="77777777" w:rsidR="00F16E19" w:rsidRPr="00D576CE" w:rsidRDefault="00F16E19" w:rsidP="008C638D">
      <w:pPr>
        <w:jc w:val="both"/>
        <w:rPr>
          <w:rFonts w:ascii="Calibri" w:hAnsi="Calibri" w:cs="Calibri"/>
          <w:sz w:val="22"/>
          <w:szCs w:val="22"/>
        </w:rPr>
      </w:pPr>
    </w:p>
    <w:p w14:paraId="7767282D" w14:textId="7CC41E2F" w:rsidR="00C8494D" w:rsidRPr="00416E24" w:rsidRDefault="00C8494D" w:rsidP="008C638D">
      <w:pPr>
        <w:jc w:val="both"/>
        <w:rPr>
          <w:rFonts w:ascii="Calibri" w:hAnsi="Calibri" w:cs="Calibri"/>
          <w:b/>
          <w:sz w:val="22"/>
          <w:szCs w:val="22"/>
        </w:rPr>
      </w:pPr>
      <w:r>
        <w:rPr>
          <w:rFonts w:ascii="Calibri" w:hAnsi="Calibri" w:cs="Calibri"/>
          <w:b/>
          <w:sz w:val="22"/>
          <w:szCs w:val="22"/>
        </w:rPr>
        <w:t>If a p</w:t>
      </w:r>
      <w:r w:rsidR="00416E24" w:rsidRPr="00416E24">
        <w:rPr>
          <w:rFonts w:ascii="Calibri" w:hAnsi="Calibri" w:cs="Calibri"/>
          <w:b/>
          <w:sz w:val="22"/>
          <w:szCs w:val="22"/>
        </w:rPr>
        <w:t xml:space="preserve">atient </w:t>
      </w:r>
      <w:r>
        <w:rPr>
          <w:rFonts w:ascii="Calibri" w:hAnsi="Calibri" w:cs="Calibri"/>
          <w:b/>
          <w:sz w:val="22"/>
          <w:szCs w:val="22"/>
        </w:rPr>
        <w:t>d</w:t>
      </w:r>
      <w:r w:rsidR="00416E24" w:rsidRPr="00416E24">
        <w:rPr>
          <w:rFonts w:ascii="Calibri" w:hAnsi="Calibri" w:cs="Calibri"/>
          <w:b/>
          <w:sz w:val="22"/>
          <w:szCs w:val="22"/>
        </w:rPr>
        <w:t xml:space="preserve">evelops </w:t>
      </w:r>
      <w:proofErr w:type="spellStart"/>
      <w:r>
        <w:rPr>
          <w:rFonts w:ascii="Calibri" w:hAnsi="Calibri" w:cs="Calibri"/>
          <w:b/>
          <w:sz w:val="22"/>
          <w:szCs w:val="22"/>
        </w:rPr>
        <w:t>h</w:t>
      </w:r>
      <w:r w:rsidR="00416E24" w:rsidRPr="00416E24">
        <w:rPr>
          <w:rFonts w:ascii="Calibri" w:hAnsi="Calibri" w:cs="Calibri"/>
          <w:b/>
          <w:sz w:val="22"/>
          <w:szCs w:val="22"/>
        </w:rPr>
        <w:t>aematuria</w:t>
      </w:r>
      <w:proofErr w:type="spellEnd"/>
      <w:r w:rsidR="00416E24" w:rsidRPr="00416E24">
        <w:rPr>
          <w:rFonts w:ascii="Calibri" w:hAnsi="Calibri" w:cs="Calibri"/>
          <w:b/>
          <w:sz w:val="22"/>
          <w:szCs w:val="22"/>
        </w:rPr>
        <w:t xml:space="preserve"> </w:t>
      </w:r>
      <w:r w:rsidR="00602A23">
        <w:rPr>
          <w:rFonts w:ascii="Calibri" w:hAnsi="Calibri" w:cs="Calibri"/>
          <w:b/>
          <w:sz w:val="22"/>
          <w:szCs w:val="22"/>
        </w:rPr>
        <w:t xml:space="preserve">(2+ or greater on dipstick) </w:t>
      </w:r>
      <w:r w:rsidRPr="00416E24">
        <w:rPr>
          <w:rFonts w:ascii="Calibri" w:hAnsi="Calibri" w:cs="Calibri"/>
          <w:b/>
          <w:sz w:val="22"/>
          <w:szCs w:val="22"/>
        </w:rPr>
        <w:t>whilst</w:t>
      </w:r>
      <w:r>
        <w:rPr>
          <w:rFonts w:ascii="Calibri" w:hAnsi="Calibri" w:cs="Calibri"/>
          <w:b/>
          <w:sz w:val="22"/>
          <w:szCs w:val="22"/>
        </w:rPr>
        <w:t xml:space="preserve"> r</w:t>
      </w:r>
      <w:r w:rsidR="00416E24" w:rsidRPr="00416E24">
        <w:rPr>
          <w:rFonts w:ascii="Calibri" w:hAnsi="Calibri" w:cs="Calibri"/>
          <w:b/>
          <w:sz w:val="22"/>
          <w:szCs w:val="22"/>
        </w:rPr>
        <w:t>eceiving</w:t>
      </w:r>
      <w:r>
        <w:rPr>
          <w:rFonts w:ascii="Calibri" w:hAnsi="Calibri" w:cs="Calibri"/>
          <w:b/>
          <w:sz w:val="22"/>
          <w:szCs w:val="22"/>
        </w:rPr>
        <w:t xml:space="preserve"> cyclophosphamide or </w:t>
      </w:r>
      <w:proofErr w:type="spellStart"/>
      <w:r>
        <w:rPr>
          <w:rFonts w:ascii="Calibri" w:hAnsi="Calibri" w:cs="Calibri"/>
          <w:b/>
          <w:sz w:val="22"/>
          <w:szCs w:val="22"/>
        </w:rPr>
        <w:t>i</w:t>
      </w:r>
      <w:r w:rsidR="00416E24" w:rsidRPr="00416E24">
        <w:rPr>
          <w:rFonts w:ascii="Calibri" w:hAnsi="Calibri" w:cs="Calibri"/>
          <w:b/>
          <w:sz w:val="22"/>
          <w:szCs w:val="22"/>
        </w:rPr>
        <w:t>fosfamide</w:t>
      </w:r>
      <w:proofErr w:type="spellEnd"/>
    </w:p>
    <w:p w14:paraId="4B7D30AC" w14:textId="77777777" w:rsidR="00416E24" w:rsidRPr="00416E24" w:rsidRDefault="00416E24" w:rsidP="008C638D">
      <w:pPr>
        <w:numPr>
          <w:ilvl w:val="0"/>
          <w:numId w:val="21"/>
        </w:numPr>
        <w:jc w:val="both"/>
        <w:rPr>
          <w:rFonts w:ascii="Calibri" w:hAnsi="Calibri" w:cs="Calibri"/>
          <w:sz w:val="22"/>
          <w:szCs w:val="22"/>
        </w:rPr>
      </w:pPr>
      <w:r w:rsidRPr="00416E24">
        <w:rPr>
          <w:rFonts w:ascii="Calibri" w:hAnsi="Calibri" w:cs="Calibri"/>
          <w:sz w:val="22"/>
          <w:szCs w:val="22"/>
        </w:rPr>
        <w:t>Check the fluid regimen to ensure that they are receiving intrav</w:t>
      </w:r>
      <w:r w:rsidR="00AA4E2B">
        <w:rPr>
          <w:rFonts w:ascii="Calibri" w:hAnsi="Calibri" w:cs="Calibri"/>
          <w:sz w:val="22"/>
          <w:szCs w:val="22"/>
        </w:rPr>
        <w:t>enous hydration at rate of 3000ml/</w:t>
      </w:r>
      <w:r w:rsidRPr="00416E24">
        <w:rPr>
          <w:rFonts w:ascii="Calibri" w:hAnsi="Calibri" w:cs="Calibri"/>
          <w:sz w:val="22"/>
          <w:szCs w:val="22"/>
        </w:rPr>
        <w:t>m</w:t>
      </w:r>
      <w:r w:rsidRPr="00AA4E2B">
        <w:rPr>
          <w:rFonts w:ascii="Calibri" w:hAnsi="Calibri" w:cs="Calibri"/>
          <w:sz w:val="22"/>
          <w:szCs w:val="22"/>
          <w:vertAlign w:val="superscript"/>
        </w:rPr>
        <w:t>2</w:t>
      </w:r>
      <w:r>
        <w:rPr>
          <w:rFonts w:ascii="Calibri" w:hAnsi="Calibri" w:cs="Calibri"/>
          <w:sz w:val="22"/>
          <w:szCs w:val="22"/>
        </w:rPr>
        <w:t>/day (125ml</w:t>
      </w:r>
      <w:r w:rsidR="00AA4E2B">
        <w:rPr>
          <w:rFonts w:ascii="Calibri" w:hAnsi="Calibri" w:cs="Calibri"/>
          <w:sz w:val="22"/>
          <w:szCs w:val="22"/>
        </w:rPr>
        <w:t>/</w:t>
      </w:r>
      <w:r w:rsidRPr="00416E24">
        <w:rPr>
          <w:rFonts w:ascii="Calibri" w:hAnsi="Calibri" w:cs="Calibri"/>
          <w:sz w:val="22"/>
          <w:szCs w:val="22"/>
        </w:rPr>
        <w:t>m</w:t>
      </w:r>
      <w:r w:rsidRPr="00416E24">
        <w:rPr>
          <w:rFonts w:ascii="Calibri" w:hAnsi="Calibri" w:cs="Calibri"/>
          <w:sz w:val="22"/>
          <w:szCs w:val="22"/>
          <w:vertAlign w:val="superscript"/>
        </w:rPr>
        <w:t>2</w:t>
      </w:r>
      <w:r>
        <w:rPr>
          <w:rFonts w:ascii="Calibri" w:hAnsi="Calibri" w:cs="Calibri"/>
          <w:sz w:val="22"/>
          <w:szCs w:val="22"/>
        </w:rPr>
        <w:t>/hour</w:t>
      </w:r>
      <w:r w:rsidRPr="00416E24">
        <w:rPr>
          <w:rFonts w:ascii="Calibri" w:hAnsi="Calibri" w:cs="Calibri"/>
          <w:sz w:val="22"/>
          <w:szCs w:val="22"/>
        </w:rPr>
        <w:t>).  Check with consultant before inc</w:t>
      </w:r>
      <w:r w:rsidR="00AA4E2B">
        <w:rPr>
          <w:rFonts w:ascii="Calibri" w:hAnsi="Calibri" w:cs="Calibri"/>
          <w:sz w:val="22"/>
          <w:szCs w:val="22"/>
        </w:rPr>
        <w:t>reasing fluid to more than 4500</w:t>
      </w:r>
      <w:r w:rsidRPr="00416E24">
        <w:rPr>
          <w:rFonts w:ascii="Calibri" w:hAnsi="Calibri" w:cs="Calibri"/>
          <w:sz w:val="22"/>
          <w:szCs w:val="22"/>
        </w:rPr>
        <w:t xml:space="preserve">ml per 24 hours. </w:t>
      </w:r>
    </w:p>
    <w:p w14:paraId="1CC106BC" w14:textId="77777777" w:rsidR="00416E24" w:rsidRPr="00416E24" w:rsidRDefault="00AA4E2B" w:rsidP="008C638D">
      <w:pPr>
        <w:numPr>
          <w:ilvl w:val="0"/>
          <w:numId w:val="21"/>
        </w:numPr>
        <w:jc w:val="both"/>
        <w:rPr>
          <w:rFonts w:ascii="Calibri" w:hAnsi="Calibri" w:cs="Calibri"/>
          <w:sz w:val="22"/>
          <w:szCs w:val="22"/>
        </w:rPr>
      </w:pPr>
      <w:r>
        <w:rPr>
          <w:rFonts w:ascii="Calibri" w:hAnsi="Calibri" w:cs="Calibri"/>
          <w:sz w:val="22"/>
          <w:szCs w:val="22"/>
        </w:rPr>
        <w:t xml:space="preserve">Ensure that they have received </w:t>
      </w:r>
      <w:proofErr w:type="spellStart"/>
      <w:r>
        <w:rPr>
          <w:rFonts w:ascii="Calibri" w:hAnsi="Calibri" w:cs="Calibri"/>
          <w:sz w:val="22"/>
          <w:szCs w:val="22"/>
        </w:rPr>
        <w:t>m</w:t>
      </w:r>
      <w:r w:rsidR="00416E24" w:rsidRPr="00416E24">
        <w:rPr>
          <w:rFonts w:ascii="Calibri" w:hAnsi="Calibri" w:cs="Calibri"/>
          <w:sz w:val="22"/>
          <w:szCs w:val="22"/>
        </w:rPr>
        <w:t>esna</w:t>
      </w:r>
      <w:proofErr w:type="spellEnd"/>
      <w:r w:rsidR="00416E24" w:rsidRPr="00416E24">
        <w:rPr>
          <w:rFonts w:ascii="Calibri" w:hAnsi="Calibri" w:cs="Calibri"/>
          <w:sz w:val="22"/>
          <w:szCs w:val="22"/>
        </w:rPr>
        <w:t xml:space="preserve"> as per the guidelines outlined in their specific protocol. </w:t>
      </w:r>
    </w:p>
    <w:p w14:paraId="342C2261" w14:textId="77777777" w:rsidR="00416E24" w:rsidRPr="00416E24" w:rsidRDefault="00EC05E4" w:rsidP="008C638D">
      <w:pPr>
        <w:numPr>
          <w:ilvl w:val="0"/>
          <w:numId w:val="21"/>
        </w:numPr>
        <w:jc w:val="both"/>
        <w:rPr>
          <w:rFonts w:ascii="Calibri" w:hAnsi="Calibri" w:cs="Calibri"/>
          <w:sz w:val="22"/>
          <w:szCs w:val="22"/>
        </w:rPr>
      </w:pPr>
      <w:r>
        <w:rPr>
          <w:rFonts w:ascii="Calibri" w:hAnsi="Calibri" w:cs="Calibri"/>
          <w:sz w:val="22"/>
          <w:szCs w:val="22"/>
        </w:rPr>
        <w:t xml:space="preserve">If a patient is not already receiving </w:t>
      </w:r>
      <w:proofErr w:type="spellStart"/>
      <w:r>
        <w:rPr>
          <w:rFonts w:ascii="Calibri" w:hAnsi="Calibri" w:cs="Calibri"/>
          <w:sz w:val="22"/>
          <w:szCs w:val="22"/>
        </w:rPr>
        <w:t>mesna</w:t>
      </w:r>
      <w:proofErr w:type="spellEnd"/>
      <w:r>
        <w:rPr>
          <w:rFonts w:ascii="Calibri" w:hAnsi="Calibri" w:cs="Calibri"/>
          <w:sz w:val="22"/>
          <w:szCs w:val="22"/>
        </w:rPr>
        <w:t xml:space="preserve">, start </w:t>
      </w:r>
      <w:proofErr w:type="spellStart"/>
      <w:r>
        <w:rPr>
          <w:rFonts w:ascii="Calibri" w:hAnsi="Calibri" w:cs="Calibri"/>
          <w:sz w:val="22"/>
          <w:szCs w:val="22"/>
        </w:rPr>
        <w:t>mesna</w:t>
      </w:r>
      <w:proofErr w:type="spellEnd"/>
      <w:r>
        <w:rPr>
          <w:rFonts w:ascii="Calibri" w:hAnsi="Calibri" w:cs="Calibri"/>
          <w:sz w:val="22"/>
          <w:szCs w:val="22"/>
        </w:rPr>
        <w:t xml:space="preserve"> at 120% of the cyclophosphamide or </w:t>
      </w:r>
      <w:proofErr w:type="spellStart"/>
      <w:r>
        <w:rPr>
          <w:rFonts w:ascii="Calibri" w:hAnsi="Calibri" w:cs="Calibri"/>
          <w:sz w:val="22"/>
          <w:szCs w:val="22"/>
        </w:rPr>
        <w:t>ifosfamide</w:t>
      </w:r>
      <w:proofErr w:type="spellEnd"/>
      <w:r>
        <w:rPr>
          <w:rFonts w:ascii="Calibri" w:hAnsi="Calibri" w:cs="Calibri"/>
          <w:sz w:val="22"/>
          <w:szCs w:val="22"/>
        </w:rPr>
        <w:t xml:space="preserve"> dose.</w:t>
      </w:r>
    </w:p>
    <w:p w14:paraId="1C2FB30A" w14:textId="3D78C4B4" w:rsidR="00AA4E2B" w:rsidRDefault="00416E24" w:rsidP="008C638D">
      <w:pPr>
        <w:numPr>
          <w:ilvl w:val="0"/>
          <w:numId w:val="21"/>
        </w:numPr>
        <w:jc w:val="both"/>
        <w:rPr>
          <w:rFonts w:ascii="Calibri" w:hAnsi="Calibri" w:cs="Calibri"/>
          <w:sz w:val="22"/>
          <w:szCs w:val="22"/>
        </w:rPr>
      </w:pPr>
      <w:r w:rsidRPr="00416E24">
        <w:rPr>
          <w:rFonts w:ascii="Calibri" w:hAnsi="Calibri" w:cs="Calibri"/>
          <w:sz w:val="22"/>
          <w:szCs w:val="22"/>
        </w:rPr>
        <w:t xml:space="preserve">If a child develops </w:t>
      </w:r>
      <w:proofErr w:type="spellStart"/>
      <w:r w:rsidRPr="00416E24">
        <w:rPr>
          <w:rFonts w:ascii="Calibri" w:hAnsi="Calibri" w:cs="Calibri"/>
          <w:sz w:val="22"/>
          <w:szCs w:val="22"/>
        </w:rPr>
        <w:t>haematuria</w:t>
      </w:r>
      <w:proofErr w:type="spellEnd"/>
      <w:r w:rsidRPr="00416E24">
        <w:rPr>
          <w:rFonts w:ascii="Calibri" w:hAnsi="Calibri" w:cs="Calibri"/>
          <w:sz w:val="22"/>
          <w:szCs w:val="22"/>
        </w:rPr>
        <w:t xml:space="preserve"> and is already receiving </w:t>
      </w:r>
      <w:proofErr w:type="spellStart"/>
      <w:r w:rsidRPr="00416E24">
        <w:rPr>
          <w:rFonts w:ascii="Calibri" w:hAnsi="Calibri" w:cs="Calibri"/>
          <w:sz w:val="22"/>
          <w:szCs w:val="22"/>
        </w:rPr>
        <w:t>mesna</w:t>
      </w:r>
      <w:proofErr w:type="spellEnd"/>
      <w:r w:rsidRPr="00416E24">
        <w:rPr>
          <w:rFonts w:ascii="Calibri" w:hAnsi="Calibri" w:cs="Calibri"/>
          <w:sz w:val="22"/>
          <w:szCs w:val="22"/>
        </w:rPr>
        <w:t xml:space="preserve"> at the appropriate dose</w:t>
      </w:r>
      <w:r w:rsidR="0095753D">
        <w:rPr>
          <w:rFonts w:ascii="Calibri" w:hAnsi="Calibri" w:cs="Calibri"/>
          <w:sz w:val="22"/>
          <w:szCs w:val="22"/>
        </w:rPr>
        <w:t>,</w:t>
      </w:r>
      <w:r w:rsidRPr="00416E24">
        <w:rPr>
          <w:rFonts w:ascii="Calibri" w:hAnsi="Calibri" w:cs="Calibri"/>
          <w:sz w:val="22"/>
          <w:szCs w:val="22"/>
        </w:rPr>
        <w:t xml:space="preserve"> then increa</w:t>
      </w:r>
      <w:r w:rsidR="00AA4E2B">
        <w:rPr>
          <w:rFonts w:ascii="Calibri" w:hAnsi="Calibri" w:cs="Calibri"/>
          <w:sz w:val="22"/>
          <w:szCs w:val="22"/>
        </w:rPr>
        <w:t xml:space="preserve">se the total daily dose to 160% of the cyclophosphamide or </w:t>
      </w:r>
      <w:proofErr w:type="spellStart"/>
      <w:r w:rsidR="00AA4E2B">
        <w:rPr>
          <w:rFonts w:ascii="Calibri" w:hAnsi="Calibri" w:cs="Calibri"/>
          <w:sz w:val="22"/>
          <w:szCs w:val="22"/>
        </w:rPr>
        <w:t>ifosfamide</w:t>
      </w:r>
      <w:proofErr w:type="spellEnd"/>
      <w:r w:rsidR="00AA4E2B">
        <w:rPr>
          <w:rFonts w:ascii="Calibri" w:hAnsi="Calibri" w:cs="Calibri"/>
          <w:sz w:val="22"/>
          <w:szCs w:val="22"/>
        </w:rPr>
        <w:t xml:space="preserve"> dose. </w:t>
      </w:r>
    </w:p>
    <w:p w14:paraId="6CF44B44" w14:textId="77777777" w:rsidR="00AA4E2B" w:rsidRDefault="00AA4E2B" w:rsidP="008C638D">
      <w:pPr>
        <w:jc w:val="both"/>
        <w:rPr>
          <w:rFonts w:ascii="Calibri" w:hAnsi="Calibri" w:cs="Calibri"/>
          <w:sz w:val="22"/>
          <w:szCs w:val="22"/>
        </w:rPr>
      </w:pPr>
    </w:p>
    <w:p w14:paraId="72F8583A" w14:textId="77777777" w:rsidR="008C638D" w:rsidRDefault="008C638D" w:rsidP="008C638D">
      <w:pPr>
        <w:jc w:val="both"/>
        <w:rPr>
          <w:rFonts w:ascii="Calibri" w:hAnsi="Calibri" w:cs="Calibri"/>
          <w:sz w:val="22"/>
          <w:szCs w:val="22"/>
        </w:rPr>
      </w:pPr>
    </w:p>
    <w:p w14:paraId="3C5D91E5" w14:textId="77777777" w:rsidR="002C3DD6" w:rsidRDefault="002C3DD6" w:rsidP="008C638D">
      <w:pPr>
        <w:jc w:val="both"/>
        <w:rPr>
          <w:rFonts w:ascii="Calibri" w:hAnsi="Calibri" w:cs="Calibri"/>
          <w:b/>
          <w:sz w:val="22"/>
          <w:szCs w:val="22"/>
          <w:u w:val="single"/>
        </w:rPr>
      </w:pPr>
      <w:r w:rsidRPr="002C3DD6">
        <w:rPr>
          <w:rFonts w:ascii="Calibri" w:hAnsi="Calibri" w:cs="Calibri"/>
          <w:b/>
          <w:sz w:val="22"/>
          <w:szCs w:val="22"/>
          <w:u w:val="single"/>
        </w:rPr>
        <w:t>HIGH DOSE METHOTREXATE</w:t>
      </w:r>
    </w:p>
    <w:p w14:paraId="6CB2DC86" w14:textId="77777777" w:rsidR="000F0048" w:rsidRDefault="000F0048" w:rsidP="008C638D">
      <w:pPr>
        <w:jc w:val="both"/>
        <w:rPr>
          <w:rFonts w:ascii="Calibri" w:hAnsi="Calibri" w:cs="Calibri"/>
          <w:sz w:val="22"/>
          <w:szCs w:val="22"/>
        </w:rPr>
      </w:pPr>
    </w:p>
    <w:p w14:paraId="24C2F4D2" w14:textId="7D65159D" w:rsidR="002C3DD6" w:rsidRDefault="002C3DD6" w:rsidP="008C638D">
      <w:pPr>
        <w:jc w:val="both"/>
        <w:rPr>
          <w:rFonts w:ascii="Calibri" w:hAnsi="Calibri" w:cs="Calibri"/>
          <w:sz w:val="22"/>
          <w:szCs w:val="22"/>
        </w:rPr>
      </w:pPr>
      <w:r>
        <w:rPr>
          <w:rFonts w:ascii="Calibri" w:hAnsi="Calibri" w:cs="Calibri"/>
          <w:sz w:val="22"/>
          <w:szCs w:val="22"/>
        </w:rPr>
        <w:t>High dose methotrexate refers to all doses ≥1g/m</w:t>
      </w:r>
      <w:r w:rsidRPr="002C3DD6">
        <w:rPr>
          <w:rFonts w:ascii="Calibri" w:hAnsi="Calibri" w:cs="Calibri"/>
          <w:sz w:val="22"/>
          <w:szCs w:val="22"/>
          <w:vertAlign w:val="superscript"/>
        </w:rPr>
        <w:t>2</w:t>
      </w:r>
      <w:r>
        <w:rPr>
          <w:rFonts w:ascii="Calibri" w:hAnsi="Calibri" w:cs="Calibri"/>
          <w:sz w:val="22"/>
          <w:szCs w:val="22"/>
        </w:rPr>
        <w:t>.</w:t>
      </w:r>
    </w:p>
    <w:p w14:paraId="6636E4BE" w14:textId="77777777" w:rsidR="000F0048" w:rsidRDefault="000F0048" w:rsidP="008C638D">
      <w:pPr>
        <w:jc w:val="both"/>
        <w:rPr>
          <w:rFonts w:ascii="Calibri" w:hAnsi="Calibri" w:cs="Calibri"/>
          <w:sz w:val="22"/>
          <w:szCs w:val="22"/>
        </w:rPr>
      </w:pPr>
    </w:p>
    <w:p w14:paraId="62F23FA9" w14:textId="77777777" w:rsidR="004F49D7" w:rsidRDefault="009213E1" w:rsidP="008C638D">
      <w:pPr>
        <w:pStyle w:val="BodyA"/>
        <w:spacing w:after="0" w:line="240" w:lineRule="auto"/>
        <w:jc w:val="both"/>
      </w:pPr>
      <w:r w:rsidRPr="008D361B">
        <w:t>Hyper</w:t>
      </w:r>
      <w:r>
        <w:t>-</w:t>
      </w:r>
      <w:r w:rsidRPr="008D361B">
        <w:t>hydration</w:t>
      </w:r>
      <w:r w:rsidR="00751630">
        <w:t xml:space="preserve">, sodium bicarbonate and calcium folinate </w:t>
      </w:r>
      <w:r w:rsidR="00EF1F91">
        <w:t xml:space="preserve">rescue </w:t>
      </w:r>
      <w:r w:rsidR="004F49D7">
        <w:t xml:space="preserve">are required alongside high dose methotrexate. </w:t>
      </w:r>
      <w:r w:rsidRPr="008D361B">
        <w:t xml:space="preserve"> </w:t>
      </w:r>
    </w:p>
    <w:p w14:paraId="02813327" w14:textId="77777777" w:rsidR="004F49D7" w:rsidRDefault="004F49D7" w:rsidP="008C638D">
      <w:pPr>
        <w:pStyle w:val="BodyA"/>
        <w:spacing w:after="0" w:line="240" w:lineRule="auto"/>
        <w:jc w:val="both"/>
      </w:pPr>
    </w:p>
    <w:p w14:paraId="31942334" w14:textId="77777777" w:rsidR="00751630" w:rsidRDefault="004F49D7" w:rsidP="008C638D">
      <w:pPr>
        <w:pStyle w:val="BodyA"/>
        <w:spacing w:after="0" w:line="240" w:lineRule="auto"/>
        <w:jc w:val="both"/>
      </w:pPr>
      <w:r w:rsidRPr="008D361B">
        <w:t>Creatinine</w:t>
      </w:r>
      <w:r>
        <w:t xml:space="preserve"> &amp; urea</w:t>
      </w:r>
      <w:r w:rsidRPr="008D361B">
        <w:t xml:space="preserve"> </w:t>
      </w:r>
      <w:r>
        <w:t xml:space="preserve">must be </w:t>
      </w:r>
      <w:r w:rsidRPr="008D361B">
        <w:t>measured at least daily</w:t>
      </w:r>
      <w:r>
        <w:t xml:space="preserve"> </w:t>
      </w:r>
      <w:r w:rsidR="00EF1F91">
        <w:t>from admission until calcium folinate rescue is complete</w:t>
      </w:r>
      <w:r w:rsidR="00EC05E4">
        <w:t xml:space="preserve"> (see below)</w:t>
      </w:r>
      <w:r w:rsidR="00EF1F91">
        <w:t>.</w:t>
      </w:r>
      <w:r>
        <w:t xml:space="preserve"> Methotrexate levels are checked </w:t>
      </w:r>
      <w:r w:rsidR="00EC05E4">
        <w:t xml:space="preserve">after </w:t>
      </w:r>
      <w:r>
        <w:t xml:space="preserve">the </w:t>
      </w:r>
      <w:r w:rsidR="00EC05E4">
        <w:t xml:space="preserve">completion of the methotrexate </w:t>
      </w:r>
      <w:r>
        <w:t xml:space="preserve">infusion, the timings of which are dictated by individual protocols. </w:t>
      </w:r>
    </w:p>
    <w:p w14:paraId="1B17590A" w14:textId="77777777" w:rsidR="004F49D7" w:rsidRDefault="004F49D7" w:rsidP="008C638D">
      <w:pPr>
        <w:pStyle w:val="BodyA"/>
        <w:spacing w:after="0" w:line="240" w:lineRule="auto"/>
        <w:jc w:val="both"/>
      </w:pPr>
    </w:p>
    <w:p w14:paraId="69BF8243" w14:textId="29FB29BD" w:rsidR="004F49D7" w:rsidRDefault="004F49D7" w:rsidP="004F49D7">
      <w:pPr>
        <w:pStyle w:val="BodyA"/>
        <w:spacing w:after="0" w:line="240" w:lineRule="auto"/>
        <w:jc w:val="both"/>
      </w:pPr>
      <w:r w:rsidRPr="008D361B">
        <w:t>In the event of renal failure or severely delayed methotrexate clearance</w:t>
      </w:r>
      <w:r w:rsidR="0095753D">
        <w:t>,</w:t>
      </w:r>
      <w:r w:rsidRPr="008D361B">
        <w:t xml:space="preserve"> the enzyme </w:t>
      </w:r>
      <w:proofErr w:type="spellStart"/>
      <w:r w:rsidRPr="008D361B">
        <w:t>glucarpidase</w:t>
      </w:r>
      <w:proofErr w:type="spellEnd"/>
      <w:r w:rsidRPr="008D361B">
        <w:t xml:space="preserve"> is given which inactivates methotrexate. </w:t>
      </w:r>
      <w:r>
        <w:t xml:space="preserve">Refer to Guideline for the Use of </w:t>
      </w:r>
      <w:proofErr w:type="spellStart"/>
      <w:r>
        <w:t>Glucarpidase</w:t>
      </w:r>
      <w:proofErr w:type="spellEnd"/>
      <w:r>
        <w:t xml:space="preserve"> (Carboxypeptidase) in Methotrexate Induced Renal Failure. </w:t>
      </w:r>
    </w:p>
    <w:p w14:paraId="07145469" w14:textId="77777777" w:rsidR="00DF3B7B" w:rsidRDefault="00DF3B7B" w:rsidP="008C638D">
      <w:pPr>
        <w:pStyle w:val="BodyA"/>
        <w:spacing w:after="0" w:line="240" w:lineRule="auto"/>
        <w:jc w:val="both"/>
      </w:pPr>
    </w:p>
    <w:p w14:paraId="31F6F2A6" w14:textId="77777777" w:rsidR="00751630" w:rsidRDefault="00751630" w:rsidP="008C638D">
      <w:pPr>
        <w:pStyle w:val="BodyA"/>
        <w:spacing w:after="0" w:line="240" w:lineRule="auto"/>
        <w:jc w:val="both"/>
        <w:rPr>
          <w:b/>
        </w:rPr>
      </w:pPr>
      <w:r>
        <w:rPr>
          <w:b/>
        </w:rPr>
        <w:t>Calcium Folinate</w:t>
      </w:r>
      <w:r w:rsidR="00EC05E4">
        <w:rPr>
          <w:b/>
        </w:rPr>
        <w:t xml:space="preserve"> Rescue</w:t>
      </w:r>
    </w:p>
    <w:p w14:paraId="69C78E1D" w14:textId="77777777" w:rsidR="00DF3B7B" w:rsidRDefault="00DF3B7B" w:rsidP="008C638D">
      <w:pPr>
        <w:pStyle w:val="BodyA"/>
        <w:spacing w:after="0" w:line="240" w:lineRule="auto"/>
        <w:jc w:val="both"/>
        <w:rPr>
          <w:b/>
        </w:rPr>
      </w:pPr>
    </w:p>
    <w:p w14:paraId="27A3D723" w14:textId="77777777" w:rsidR="009213E1" w:rsidRDefault="009213E1" w:rsidP="008C638D">
      <w:pPr>
        <w:pStyle w:val="BodyA"/>
        <w:spacing w:after="0" w:line="240" w:lineRule="auto"/>
        <w:jc w:val="both"/>
      </w:pPr>
      <w:r w:rsidRPr="008D361B">
        <w:t xml:space="preserve">Calcium folinate rescues normal tissue from methotrexate toxicity. Scheduling of calcium folinate depends on the duration of methotrexate infusion and is dictated by individual protocols. High methotrexate levels require increased doses of calcium folinate. </w:t>
      </w:r>
    </w:p>
    <w:p w14:paraId="6E588991" w14:textId="77777777" w:rsidR="00AA4493" w:rsidRDefault="00AA4493" w:rsidP="008C638D">
      <w:pPr>
        <w:pStyle w:val="BodyA"/>
        <w:spacing w:after="0" w:line="240" w:lineRule="auto"/>
        <w:jc w:val="both"/>
      </w:pPr>
    </w:p>
    <w:p w14:paraId="3BB402CF" w14:textId="216020CC" w:rsidR="00AA4493" w:rsidRDefault="00AA4493" w:rsidP="008C638D">
      <w:pPr>
        <w:pStyle w:val="BodyA"/>
        <w:spacing w:after="0" w:line="240" w:lineRule="auto"/>
        <w:jc w:val="both"/>
      </w:pPr>
      <w:r>
        <w:t xml:space="preserve">Sodium </w:t>
      </w:r>
      <w:proofErr w:type="spellStart"/>
      <w:r>
        <w:t>levofolinate</w:t>
      </w:r>
      <w:proofErr w:type="spellEnd"/>
      <w:r>
        <w:t xml:space="preserve"> is available in the event of hypercalcemia. To be commenced on discussion with </w:t>
      </w:r>
      <w:proofErr w:type="spellStart"/>
      <w:r>
        <w:t>haematology</w:t>
      </w:r>
      <w:proofErr w:type="spellEnd"/>
      <w:r>
        <w:t xml:space="preserve">/oncology consultant only.  </w:t>
      </w:r>
    </w:p>
    <w:p w14:paraId="53812312" w14:textId="77777777" w:rsidR="00DF3B7B" w:rsidRDefault="00DF3B7B" w:rsidP="008C638D">
      <w:pPr>
        <w:pStyle w:val="BodyA"/>
        <w:spacing w:after="0" w:line="240" w:lineRule="auto"/>
        <w:jc w:val="both"/>
        <w:rPr>
          <w:b/>
        </w:rPr>
      </w:pPr>
    </w:p>
    <w:p w14:paraId="1C2B3CB6" w14:textId="77777777" w:rsidR="009213E1" w:rsidRPr="00AC61D8" w:rsidRDefault="00E44EE0" w:rsidP="008C638D">
      <w:pPr>
        <w:pStyle w:val="BodyA"/>
        <w:spacing w:after="0" w:line="240" w:lineRule="auto"/>
        <w:jc w:val="both"/>
        <w:rPr>
          <w:b/>
        </w:rPr>
      </w:pPr>
      <w:r>
        <w:rPr>
          <w:b/>
        </w:rPr>
        <w:t>Hyper-hydration</w:t>
      </w:r>
      <w:r w:rsidR="00840134">
        <w:rPr>
          <w:b/>
        </w:rPr>
        <w:t xml:space="preserve"> and </w:t>
      </w:r>
      <w:r w:rsidR="009213E1" w:rsidRPr="00AC61D8">
        <w:rPr>
          <w:b/>
        </w:rPr>
        <w:t>Sodium Bicarbonate</w:t>
      </w:r>
    </w:p>
    <w:p w14:paraId="41C4DD6C" w14:textId="77777777" w:rsidR="00840134" w:rsidRDefault="00840134" w:rsidP="008C638D">
      <w:pPr>
        <w:pStyle w:val="BodyA"/>
        <w:spacing w:after="0" w:line="240" w:lineRule="auto"/>
        <w:jc w:val="both"/>
      </w:pPr>
    </w:p>
    <w:p w14:paraId="386F40C4" w14:textId="77777777" w:rsidR="00840134" w:rsidRDefault="00840134" w:rsidP="00840134">
      <w:pPr>
        <w:pStyle w:val="BodyA"/>
        <w:spacing w:after="0" w:line="240" w:lineRule="auto"/>
        <w:jc w:val="both"/>
      </w:pPr>
      <w:r>
        <w:t>Hyper</w:t>
      </w:r>
      <w:r w:rsidR="003A5C60">
        <w:t>-</w:t>
      </w:r>
      <w:r>
        <w:t xml:space="preserve">hydration is required for at least four hours prior to the start of the methotrexate infusion and must continue until calcium folinate rescue is complete. </w:t>
      </w:r>
    </w:p>
    <w:p w14:paraId="1F147273" w14:textId="77777777" w:rsidR="00840134" w:rsidRDefault="00840134" w:rsidP="008C638D">
      <w:pPr>
        <w:pStyle w:val="BodyA"/>
        <w:spacing w:after="0" w:line="240" w:lineRule="auto"/>
        <w:jc w:val="both"/>
      </w:pPr>
    </w:p>
    <w:p w14:paraId="6E77780C" w14:textId="28695F7A" w:rsidR="00EF1F91" w:rsidRPr="009E0829" w:rsidRDefault="00751630" w:rsidP="008C638D">
      <w:pPr>
        <w:pStyle w:val="BodyA"/>
        <w:spacing w:after="0" w:line="240" w:lineRule="auto"/>
        <w:jc w:val="both"/>
      </w:pPr>
      <w:r>
        <w:t>S</w:t>
      </w:r>
      <w:r w:rsidRPr="008D361B">
        <w:t xml:space="preserve">odium bicarbonate is necessary to </w:t>
      </w:r>
      <w:proofErr w:type="spellStart"/>
      <w:r w:rsidRPr="008D361B">
        <w:t>alkalinise</w:t>
      </w:r>
      <w:proofErr w:type="spellEnd"/>
      <w:r w:rsidRPr="008D361B">
        <w:t xml:space="preserve"> urine and promote excretion of methotrexate. </w:t>
      </w:r>
      <w:r w:rsidR="00AC61D8">
        <w:t>Sodium bicarbonate 8.4% (1mmol/ml) is given alongside hyper-hydration at an initial rate of 6.25mmol/m</w:t>
      </w:r>
      <w:r w:rsidR="00AC61D8" w:rsidRPr="00AC61D8">
        <w:rPr>
          <w:vertAlign w:val="superscript"/>
        </w:rPr>
        <w:t>2</w:t>
      </w:r>
      <w:r w:rsidR="00AC61D8">
        <w:t>/hour</w:t>
      </w:r>
      <w:r w:rsidR="00AA4493">
        <w:t xml:space="preserve"> (some protocols require a rate of 10</w:t>
      </w:r>
      <w:r w:rsidR="00AA4493" w:rsidRPr="00AA4493">
        <w:t xml:space="preserve"> </w:t>
      </w:r>
      <w:r w:rsidR="00AA4493">
        <w:t>mmol/m</w:t>
      </w:r>
      <w:r w:rsidR="00AA4493" w:rsidRPr="00AC61D8">
        <w:rPr>
          <w:vertAlign w:val="superscript"/>
        </w:rPr>
        <w:t>2</w:t>
      </w:r>
      <w:r w:rsidR="00AA4493">
        <w:t>/hour during pre-hydration</w:t>
      </w:r>
      <w:proofErr w:type="gramStart"/>
      <w:r w:rsidR="00AA4493">
        <w:t>).</w:t>
      </w:r>
      <w:r w:rsidRPr="00751630">
        <w:t>Urine</w:t>
      </w:r>
      <w:proofErr w:type="gramEnd"/>
      <w:r w:rsidRPr="00751630">
        <w:t xml:space="preserve"> pH should be above 7 prior to commencing methotrexate infusion. </w:t>
      </w:r>
      <w:r w:rsidR="00AC61D8">
        <w:t xml:space="preserve">If urine pH falls below 7 </w:t>
      </w:r>
      <w:r w:rsidR="0064058C">
        <w:t>on two consecutive urine samples</w:t>
      </w:r>
      <w:r w:rsidR="0095753D">
        <w:t>,</w:t>
      </w:r>
      <w:r w:rsidR="0064058C">
        <w:t xml:space="preserve"> </w:t>
      </w:r>
      <w:r w:rsidR="00AC61D8">
        <w:t xml:space="preserve">the rate of the sodium bicarbonate infusion should be increased by 20%. If urine pH goes above 8 the rate should be reduced back to the initial rate. Sodium bicarbonate and hyper-hydration should continue until calcium folinate rescue is complete. </w:t>
      </w:r>
    </w:p>
    <w:p w14:paraId="78454F21" w14:textId="77777777" w:rsidR="00EF1F91" w:rsidRDefault="00EF1F91" w:rsidP="008C638D">
      <w:pPr>
        <w:pStyle w:val="BodyA"/>
        <w:spacing w:after="0" w:line="240" w:lineRule="auto"/>
        <w:jc w:val="both"/>
        <w:rPr>
          <w:b/>
          <w:u w:val="single"/>
        </w:rPr>
      </w:pPr>
    </w:p>
    <w:p w14:paraId="15F99F0D" w14:textId="77777777" w:rsidR="00EF1F91" w:rsidRDefault="00EF1F91" w:rsidP="008C638D">
      <w:pPr>
        <w:pStyle w:val="BodyA"/>
        <w:spacing w:after="0" w:line="240" w:lineRule="auto"/>
        <w:jc w:val="both"/>
        <w:rPr>
          <w:b/>
          <w:u w:val="single"/>
        </w:rPr>
      </w:pPr>
    </w:p>
    <w:p w14:paraId="24576527" w14:textId="77777777" w:rsidR="00AC61D8" w:rsidRPr="006C0DB2" w:rsidRDefault="00AC61D8" w:rsidP="008C638D">
      <w:pPr>
        <w:pStyle w:val="BodyA"/>
        <w:spacing w:after="0" w:line="240" w:lineRule="auto"/>
        <w:jc w:val="both"/>
        <w:rPr>
          <w:b/>
          <w:u w:val="single"/>
        </w:rPr>
      </w:pPr>
      <w:r w:rsidRPr="006C0DB2">
        <w:rPr>
          <w:b/>
          <w:u w:val="single"/>
        </w:rPr>
        <w:t>MELPHALAN</w:t>
      </w:r>
    </w:p>
    <w:p w14:paraId="47D0622F" w14:textId="77777777" w:rsidR="00451B67" w:rsidRDefault="00451B67" w:rsidP="008C638D">
      <w:pPr>
        <w:pStyle w:val="BodyA"/>
        <w:spacing w:after="0" w:line="240" w:lineRule="auto"/>
        <w:jc w:val="both"/>
      </w:pPr>
    </w:p>
    <w:p w14:paraId="205376D3" w14:textId="77777777" w:rsidR="00AC61D8" w:rsidRDefault="004F49D7" w:rsidP="008C638D">
      <w:pPr>
        <w:pStyle w:val="BodyA"/>
        <w:spacing w:after="0" w:line="240" w:lineRule="auto"/>
        <w:jc w:val="both"/>
      </w:pPr>
      <w:r>
        <w:t xml:space="preserve">Hyper-hydration is required alongside melphalan. </w:t>
      </w:r>
      <w:r w:rsidR="006C0DB2">
        <w:t>Urine output of 4ml/kg/hour must be established prior to melphalan administration and maintained for at least 2 hours post dose. The following schedule is recommended:</w:t>
      </w:r>
    </w:p>
    <w:p w14:paraId="3D0236A6" w14:textId="77777777" w:rsidR="00704A6D" w:rsidRDefault="00704A6D" w:rsidP="008C638D">
      <w:pPr>
        <w:pStyle w:val="BodyA"/>
        <w:spacing w:after="0" w:line="240" w:lineRule="auto"/>
        <w:jc w:val="both"/>
      </w:pPr>
    </w:p>
    <w:p w14:paraId="18F74869" w14:textId="4F26F9DF" w:rsidR="006C0DB2" w:rsidRDefault="006C0DB2" w:rsidP="008C638D">
      <w:pPr>
        <w:pStyle w:val="BodyA"/>
        <w:spacing w:after="0" w:line="240" w:lineRule="auto"/>
        <w:jc w:val="both"/>
      </w:pPr>
      <w:r>
        <w:t xml:space="preserve">T=0 </w:t>
      </w:r>
      <w:r>
        <w:tab/>
        <w:t xml:space="preserve">Commence pre-hydration </w:t>
      </w:r>
      <w:r w:rsidR="000F0048">
        <w:t xml:space="preserve">(sodium chloride 0.9%) </w:t>
      </w:r>
      <w:r>
        <w:t>at 125ml/m</w:t>
      </w:r>
      <w:r w:rsidRPr="006C0DB2">
        <w:rPr>
          <w:vertAlign w:val="superscript"/>
        </w:rPr>
        <w:t>2</w:t>
      </w:r>
      <w:r>
        <w:t>/hour (max 188ml/hour)</w:t>
      </w:r>
      <w:r w:rsidR="00F039B5">
        <w:t xml:space="preserve"> for 3.5 hours</w:t>
      </w:r>
    </w:p>
    <w:p w14:paraId="61A1B045" w14:textId="77777777" w:rsidR="006C0DB2" w:rsidRDefault="006C0DB2" w:rsidP="008C638D">
      <w:pPr>
        <w:pStyle w:val="BodyA"/>
        <w:spacing w:after="0" w:line="240" w:lineRule="auto"/>
        <w:jc w:val="both"/>
      </w:pPr>
      <w:r>
        <w:t>T=2</w:t>
      </w:r>
      <w:r>
        <w:tab/>
        <w:t>Furosemide 0.5mg/kg (max 40mg)</w:t>
      </w:r>
    </w:p>
    <w:p w14:paraId="12F435E3" w14:textId="77777777" w:rsidR="006C0DB2" w:rsidRDefault="006C0DB2" w:rsidP="008C638D">
      <w:pPr>
        <w:pStyle w:val="BodyA"/>
        <w:spacing w:after="0" w:line="240" w:lineRule="auto"/>
        <w:jc w:val="both"/>
      </w:pPr>
      <w:r>
        <w:t>T=2.5</w:t>
      </w:r>
      <w:r>
        <w:tab/>
        <w:t>Furosemide 0.5mg/kg (max 40mg)</w:t>
      </w:r>
      <w:r w:rsidR="004F49D7">
        <w:t xml:space="preserve"> (if required)</w:t>
      </w:r>
    </w:p>
    <w:p w14:paraId="3DC411BE" w14:textId="77777777" w:rsidR="006C0DB2" w:rsidRDefault="006C0DB2" w:rsidP="008C638D">
      <w:pPr>
        <w:pStyle w:val="BodyA"/>
        <w:spacing w:after="0" w:line="240" w:lineRule="auto"/>
        <w:jc w:val="both"/>
      </w:pPr>
      <w:r>
        <w:t>T=3</w:t>
      </w:r>
      <w:r>
        <w:tab/>
        <w:t>Melphalan over 15 mins</w:t>
      </w:r>
    </w:p>
    <w:p w14:paraId="25E97C6B" w14:textId="77777777" w:rsidR="006C0DB2" w:rsidRDefault="006C0DB2" w:rsidP="008C638D">
      <w:pPr>
        <w:pStyle w:val="BodyA"/>
        <w:spacing w:after="0" w:line="240" w:lineRule="auto"/>
        <w:jc w:val="both"/>
      </w:pPr>
      <w:r>
        <w:t>T=3.5</w:t>
      </w:r>
      <w:r>
        <w:tab/>
        <w:t>Post hydration at 125ml/m</w:t>
      </w:r>
      <w:r w:rsidRPr="006C0DB2">
        <w:rPr>
          <w:vertAlign w:val="superscript"/>
        </w:rPr>
        <w:t>2</w:t>
      </w:r>
      <w:r>
        <w:t>/hour (max 188ml/hour) for 24 hours</w:t>
      </w:r>
    </w:p>
    <w:p w14:paraId="0956D8E9" w14:textId="77777777" w:rsidR="004F49D7" w:rsidRDefault="004F49D7" w:rsidP="000F0048">
      <w:pPr>
        <w:jc w:val="both"/>
        <w:rPr>
          <w:rFonts w:ascii="Calibri" w:hAnsi="Calibri" w:cs="Calibri"/>
          <w:sz w:val="22"/>
          <w:szCs w:val="22"/>
        </w:rPr>
      </w:pPr>
    </w:p>
    <w:p w14:paraId="276C6A0B" w14:textId="77777777" w:rsidR="00E83FBD" w:rsidRDefault="004F49D7" w:rsidP="00EF1F91">
      <w:pPr>
        <w:rPr>
          <w:rFonts w:ascii="Calibri" w:hAnsi="Calibri" w:cs="Calibri"/>
          <w:sz w:val="22"/>
          <w:szCs w:val="22"/>
        </w:rPr>
      </w:pPr>
      <w:r>
        <w:rPr>
          <w:rFonts w:ascii="Calibri" w:hAnsi="Calibri" w:cs="Calibri"/>
          <w:sz w:val="22"/>
          <w:szCs w:val="22"/>
        </w:rPr>
        <w:t xml:space="preserve">Note: </w:t>
      </w:r>
      <w:r w:rsidRPr="004F49D7">
        <w:rPr>
          <w:rFonts w:ascii="Calibri" w:hAnsi="Calibri" w:cs="Calibri"/>
          <w:sz w:val="22"/>
          <w:szCs w:val="22"/>
        </w:rPr>
        <w:t>Melphalan is not compatible with glucose containing solutions.</w:t>
      </w:r>
    </w:p>
    <w:p w14:paraId="2805DEF0" w14:textId="77777777" w:rsidR="00E83FBD" w:rsidRDefault="00E83FBD" w:rsidP="00EF1F91">
      <w:pPr>
        <w:rPr>
          <w:rFonts w:ascii="Calibri" w:hAnsi="Calibri" w:cs="Calibri"/>
          <w:sz w:val="22"/>
          <w:szCs w:val="22"/>
        </w:rPr>
      </w:pPr>
    </w:p>
    <w:p w14:paraId="1A8584EE" w14:textId="77777777" w:rsidR="00E83FBD" w:rsidRDefault="00E83FBD" w:rsidP="00EF1F91">
      <w:pPr>
        <w:rPr>
          <w:rFonts w:ascii="Calibri" w:hAnsi="Calibri" w:cs="Calibri"/>
          <w:sz w:val="22"/>
          <w:szCs w:val="22"/>
        </w:rPr>
      </w:pPr>
    </w:p>
    <w:p w14:paraId="0C8E2235" w14:textId="77777777" w:rsidR="00E83FBD" w:rsidRDefault="00E83FBD" w:rsidP="00EF1F91">
      <w:pPr>
        <w:rPr>
          <w:rFonts w:ascii="Calibri" w:hAnsi="Calibri" w:cs="Calibri"/>
          <w:sz w:val="22"/>
          <w:szCs w:val="22"/>
        </w:rPr>
      </w:pPr>
    </w:p>
    <w:p w14:paraId="28BEF41C" w14:textId="77777777" w:rsidR="00E83FBD" w:rsidRDefault="00E83FBD" w:rsidP="00EF1F91">
      <w:pPr>
        <w:rPr>
          <w:rFonts w:ascii="Calibri" w:hAnsi="Calibri" w:cs="Calibri"/>
          <w:sz w:val="22"/>
          <w:szCs w:val="22"/>
        </w:rPr>
      </w:pPr>
    </w:p>
    <w:p w14:paraId="7A40C9F8" w14:textId="77777777" w:rsidR="00E83FBD" w:rsidRDefault="00E83FBD" w:rsidP="00EF1F91">
      <w:pPr>
        <w:rPr>
          <w:rFonts w:ascii="Calibri" w:hAnsi="Calibri" w:cs="Calibri"/>
          <w:sz w:val="22"/>
          <w:szCs w:val="22"/>
        </w:rPr>
      </w:pPr>
    </w:p>
    <w:p w14:paraId="348BA27B" w14:textId="77777777" w:rsidR="00E83FBD" w:rsidRDefault="00E83FBD" w:rsidP="00EF1F91">
      <w:pPr>
        <w:rPr>
          <w:rFonts w:ascii="Calibri" w:hAnsi="Calibri" w:cs="Calibri"/>
          <w:sz w:val="22"/>
          <w:szCs w:val="22"/>
        </w:rPr>
      </w:pPr>
    </w:p>
    <w:p w14:paraId="4FA9A904" w14:textId="77777777" w:rsidR="00E83FBD" w:rsidRDefault="00E83FBD" w:rsidP="00EF1F91">
      <w:pPr>
        <w:rPr>
          <w:rFonts w:ascii="Calibri" w:hAnsi="Calibri" w:cs="Calibri"/>
          <w:sz w:val="22"/>
          <w:szCs w:val="22"/>
        </w:rPr>
      </w:pPr>
    </w:p>
    <w:p w14:paraId="541B7A80" w14:textId="77777777" w:rsidR="00E83FBD" w:rsidRDefault="00E83FBD" w:rsidP="00EF1F91">
      <w:pPr>
        <w:rPr>
          <w:rFonts w:ascii="Calibri" w:hAnsi="Calibri" w:cs="Calibri"/>
          <w:sz w:val="22"/>
          <w:szCs w:val="22"/>
        </w:rPr>
      </w:pPr>
    </w:p>
    <w:p w14:paraId="13742089" w14:textId="77777777" w:rsidR="00E83FBD" w:rsidRDefault="00E83FBD" w:rsidP="00EF1F91">
      <w:pPr>
        <w:rPr>
          <w:rFonts w:ascii="Calibri" w:hAnsi="Calibri" w:cs="Calibri"/>
          <w:sz w:val="22"/>
          <w:szCs w:val="22"/>
        </w:rPr>
      </w:pPr>
    </w:p>
    <w:p w14:paraId="45AF5D75" w14:textId="77777777" w:rsidR="00E83FBD" w:rsidRDefault="00E83FBD" w:rsidP="00EF1F91">
      <w:pPr>
        <w:rPr>
          <w:rFonts w:ascii="Calibri" w:hAnsi="Calibri" w:cs="Calibri"/>
          <w:sz w:val="22"/>
          <w:szCs w:val="22"/>
        </w:rPr>
      </w:pPr>
    </w:p>
    <w:p w14:paraId="084AE92E" w14:textId="77777777" w:rsidR="00E83FBD" w:rsidRDefault="00E83FBD" w:rsidP="00EF1F91">
      <w:pPr>
        <w:rPr>
          <w:rFonts w:ascii="Calibri" w:hAnsi="Calibri" w:cs="Calibri"/>
          <w:sz w:val="22"/>
          <w:szCs w:val="22"/>
        </w:rPr>
      </w:pPr>
    </w:p>
    <w:p w14:paraId="020B26F1" w14:textId="77777777" w:rsidR="00E83FBD" w:rsidRDefault="00E83FBD" w:rsidP="00EF1F91">
      <w:pPr>
        <w:rPr>
          <w:rFonts w:ascii="Calibri" w:hAnsi="Calibri" w:cs="Calibri"/>
          <w:sz w:val="22"/>
          <w:szCs w:val="22"/>
        </w:rPr>
      </w:pPr>
    </w:p>
    <w:p w14:paraId="68D875A6" w14:textId="77777777" w:rsidR="00E83FBD" w:rsidRDefault="00E83FBD" w:rsidP="00EF1F91">
      <w:pPr>
        <w:rPr>
          <w:rFonts w:ascii="Calibri" w:hAnsi="Calibri" w:cs="Calibri"/>
          <w:sz w:val="22"/>
          <w:szCs w:val="22"/>
        </w:rPr>
      </w:pPr>
    </w:p>
    <w:p w14:paraId="7FF08D86" w14:textId="77777777" w:rsidR="00E83FBD" w:rsidRDefault="00E83FBD" w:rsidP="00EF1F91">
      <w:pPr>
        <w:rPr>
          <w:rFonts w:ascii="Calibri" w:hAnsi="Calibri" w:cs="Calibri"/>
          <w:sz w:val="22"/>
          <w:szCs w:val="22"/>
        </w:rPr>
      </w:pPr>
    </w:p>
    <w:p w14:paraId="1D36F375" w14:textId="77777777" w:rsidR="00E83FBD" w:rsidRDefault="00E83FBD" w:rsidP="00EF1F91">
      <w:pPr>
        <w:rPr>
          <w:rFonts w:ascii="Calibri" w:hAnsi="Calibri" w:cs="Calibri"/>
          <w:sz w:val="22"/>
          <w:szCs w:val="22"/>
        </w:rPr>
      </w:pPr>
    </w:p>
    <w:p w14:paraId="63CC136C" w14:textId="60268227" w:rsidR="008C638D" w:rsidRDefault="008C638D" w:rsidP="00EF1F9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887"/>
      </w:tblGrid>
      <w:tr w:rsidR="002E4AF9" w:rsidRPr="00B326DC" w14:paraId="73439AE7" w14:textId="77777777" w:rsidTr="0F966544">
        <w:trPr>
          <w:jc w:val="center"/>
        </w:trPr>
        <w:tc>
          <w:tcPr>
            <w:tcW w:w="10403" w:type="dxa"/>
            <w:gridSpan w:val="2"/>
            <w:shd w:val="clear" w:color="auto" w:fill="auto"/>
          </w:tcPr>
          <w:p w14:paraId="2711F997" w14:textId="77777777" w:rsidR="00DF3B7B" w:rsidRDefault="00F00B43" w:rsidP="008C638D">
            <w:pPr>
              <w:jc w:val="center"/>
              <w:rPr>
                <w:rFonts w:ascii="Calibri" w:hAnsi="Calibri" w:cs="Calibri"/>
                <w:b/>
                <w:sz w:val="22"/>
                <w:szCs w:val="22"/>
                <w:shd w:val="pct20" w:color="auto" w:fill="auto"/>
              </w:rPr>
            </w:pPr>
            <w:r w:rsidRPr="00F00B43">
              <w:rPr>
                <w:rFonts w:ascii="Calibri" w:hAnsi="Calibri" w:cs="Calibri"/>
                <w:b/>
                <w:sz w:val="22"/>
                <w:szCs w:val="22"/>
                <w:shd w:val="pct20" w:color="auto" w:fill="auto"/>
              </w:rPr>
              <w:t xml:space="preserve">GUIDELINES FOR THE PREVENTION AND TREATMENT OF CHEMOTHERAPY REGIMEN </w:t>
            </w:r>
          </w:p>
          <w:p w14:paraId="77A0EA26" w14:textId="77777777" w:rsidR="002E4AF9" w:rsidRPr="00B326DC" w:rsidRDefault="00F00B43" w:rsidP="008C638D">
            <w:pPr>
              <w:jc w:val="center"/>
              <w:rPr>
                <w:rFonts w:ascii="Calibri" w:hAnsi="Calibri" w:cs="Calibri"/>
                <w:b/>
                <w:caps/>
              </w:rPr>
            </w:pPr>
            <w:r w:rsidRPr="00F00B43">
              <w:rPr>
                <w:rFonts w:ascii="Calibri" w:hAnsi="Calibri" w:cs="Calibri"/>
                <w:b/>
                <w:sz w:val="22"/>
                <w:szCs w:val="22"/>
                <w:shd w:val="pct20" w:color="auto" w:fill="auto"/>
              </w:rPr>
              <w:t>SPECIFIC COMPLICATIONS</w:t>
            </w:r>
            <w:r w:rsidR="00BC0ABB">
              <w:rPr>
                <w:rFonts w:ascii="Calibri" w:hAnsi="Calibri" w:cs="Calibri"/>
                <w:b/>
                <w:sz w:val="22"/>
                <w:szCs w:val="22"/>
                <w:shd w:val="pct20" w:color="auto" w:fill="auto"/>
              </w:rPr>
              <w:t xml:space="preserve"> – INTRAVENOUS HYDRATION FLUIDS</w:t>
            </w:r>
          </w:p>
        </w:tc>
      </w:tr>
      <w:tr w:rsidR="002E4AF9" w:rsidRPr="00B326DC" w14:paraId="1FED3B96" w14:textId="77777777" w:rsidTr="0F966544">
        <w:trPr>
          <w:trHeight w:val="315"/>
          <w:jc w:val="center"/>
        </w:trPr>
        <w:tc>
          <w:tcPr>
            <w:tcW w:w="3353" w:type="dxa"/>
          </w:tcPr>
          <w:p w14:paraId="039A8DBA" w14:textId="77777777" w:rsidR="002E4AF9" w:rsidRPr="00B326DC" w:rsidRDefault="002E4AF9" w:rsidP="008C638D">
            <w:pPr>
              <w:pStyle w:val="NoSpacing"/>
              <w:jc w:val="both"/>
              <w:rPr>
                <w:rFonts w:cs="Calibri"/>
              </w:rPr>
            </w:pPr>
            <w:r w:rsidRPr="00B326DC">
              <w:rPr>
                <w:rFonts w:cs="Calibri"/>
              </w:rPr>
              <w:t>Version:</w:t>
            </w:r>
          </w:p>
        </w:tc>
        <w:tc>
          <w:tcPr>
            <w:tcW w:w="7050" w:type="dxa"/>
          </w:tcPr>
          <w:p w14:paraId="5B3BCB25" w14:textId="7EA5699E" w:rsidR="002E4AF9" w:rsidRPr="00B326DC" w:rsidRDefault="0078611C" w:rsidP="008C638D">
            <w:pPr>
              <w:pStyle w:val="NoSpacing"/>
              <w:jc w:val="both"/>
              <w:rPr>
                <w:rFonts w:cs="Calibri"/>
              </w:rPr>
            </w:pPr>
            <w:r>
              <w:rPr>
                <w:rFonts w:cs="Calibri"/>
              </w:rPr>
              <w:t>2</w:t>
            </w:r>
          </w:p>
        </w:tc>
      </w:tr>
      <w:tr w:rsidR="002E4AF9" w:rsidRPr="00B326DC" w14:paraId="0334A012" w14:textId="77777777" w:rsidTr="0F966544">
        <w:trPr>
          <w:jc w:val="center"/>
        </w:trPr>
        <w:tc>
          <w:tcPr>
            <w:tcW w:w="3353" w:type="dxa"/>
          </w:tcPr>
          <w:p w14:paraId="6B13A79B" w14:textId="77777777" w:rsidR="002E4AF9" w:rsidRPr="00B326DC" w:rsidRDefault="002E4AF9" w:rsidP="008C638D">
            <w:pPr>
              <w:pStyle w:val="NoSpacing"/>
              <w:jc w:val="both"/>
              <w:rPr>
                <w:rFonts w:cs="Calibri"/>
              </w:rPr>
            </w:pPr>
            <w:r w:rsidRPr="00B326DC">
              <w:rPr>
                <w:rFonts w:cs="Calibri"/>
              </w:rPr>
              <w:t>Ratified by:</w:t>
            </w:r>
          </w:p>
        </w:tc>
        <w:tc>
          <w:tcPr>
            <w:tcW w:w="7050" w:type="dxa"/>
          </w:tcPr>
          <w:p w14:paraId="6C11D566" w14:textId="77777777" w:rsidR="002E4AF9" w:rsidRPr="00B326DC" w:rsidRDefault="00DF3B7B" w:rsidP="0F966544">
            <w:pPr>
              <w:pStyle w:val="NoSpacing"/>
              <w:jc w:val="both"/>
              <w:rPr>
                <w:rFonts w:cs="Calibri"/>
                <w:lang w:val="en-US"/>
              </w:rPr>
            </w:pPr>
            <w:r w:rsidRPr="0F966544">
              <w:rPr>
                <w:rFonts w:cs="Calibri"/>
                <w:lang w:val="en-US"/>
              </w:rPr>
              <w:t xml:space="preserve">Medicines Management and </w:t>
            </w:r>
            <w:proofErr w:type="spellStart"/>
            <w:r w:rsidRPr="0F966544">
              <w:rPr>
                <w:rFonts w:cs="Calibri"/>
                <w:lang w:val="en-US"/>
              </w:rPr>
              <w:t>Optimisation</w:t>
            </w:r>
            <w:proofErr w:type="spellEnd"/>
            <w:r w:rsidRPr="0F966544">
              <w:rPr>
                <w:rFonts w:cs="Calibri"/>
                <w:lang w:val="en-US"/>
              </w:rPr>
              <w:t xml:space="preserve"> Committee (MMOC)</w:t>
            </w:r>
          </w:p>
        </w:tc>
      </w:tr>
      <w:tr w:rsidR="002E4AF9" w:rsidRPr="00B326DC" w14:paraId="255A0435" w14:textId="77777777" w:rsidTr="0F966544">
        <w:trPr>
          <w:jc w:val="center"/>
        </w:trPr>
        <w:tc>
          <w:tcPr>
            <w:tcW w:w="3353" w:type="dxa"/>
          </w:tcPr>
          <w:p w14:paraId="14ED8951" w14:textId="77777777" w:rsidR="002E4AF9" w:rsidRPr="00B326DC" w:rsidRDefault="002E4AF9" w:rsidP="008C638D">
            <w:pPr>
              <w:pStyle w:val="NoSpacing"/>
              <w:jc w:val="both"/>
              <w:rPr>
                <w:rFonts w:cs="Calibri"/>
              </w:rPr>
            </w:pPr>
            <w:r w:rsidRPr="00B326DC">
              <w:rPr>
                <w:rFonts w:cs="Calibri"/>
              </w:rPr>
              <w:t>Date ratified:</w:t>
            </w:r>
          </w:p>
        </w:tc>
        <w:tc>
          <w:tcPr>
            <w:tcW w:w="7050" w:type="dxa"/>
          </w:tcPr>
          <w:p w14:paraId="77B9936F" w14:textId="1A0EC9C8" w:rsidR="002E4AF9" w:rsidRPr="00B326DC" w:rsidRDefault="00C338A6" w:rsidP="0F966544">
            <w:pPr>
              <w:pStyle w:val="NoSpacing"/>
              <w:jc w:val="both"/>
              <w:rPr>
                <w:rFonts w:cs="Calibri"/>
                <w:lang w:val="en-US"/>
              </w:rPr>
            </w:pPr>
            <w:r>
              <w:rPr>
                <w:rFonts w:cs="Calibri"/>
                <w:lang w:val="en-US"/>
              </w:rPr>
              <w:t>24.7.24 / 3.9.24ag</w:t>
            </w:r>
          </w:p>
        </w:tc>
      </w:tr>
      <w:tr w:rsidR="002E4AF9" w:rsidRPr="00B326DC" w14:paraId="2C7BA4D8" w14:textId="77777777" w:rsidTr="0F966544">
        <w:trPr>
          <w:jc w:val="center"/>
        </w:trPr>
        <w:tc>
          <w:tcPr>
            <w:tcW w:w="3353" w:type="dxa"/>
          </w:tcPr>
          <w:p w14:paraId="09603AE7" w14:textId="77777777" w:rsidR="002E4AF9" w:rsidRPr="00B326DC" w:rsidRDefault="002E4AF9" w:rsidP="008C638D">
            <w:pPr>
              <w:pStyle w:val="NoSpacing"/>
              <w:jc w:val="both"/>
              <w:rPr>
                <w:rFonts w:cs="Calibri"/>
              </w:rPr>
            </w:pPr>
            <w:r w:rsidRPr="00B326DC">
              <w:rPr>
                <w:rFonts w:cs="Calibri"/>
              </w:rPr>
              <w:t>Name of originator/author:</w:t>
            </w:r>
          </w:p>
        </w:tc>
        <w:tc>
          <w:tcPr>
            <w:tcW w:w="7050" w:type="dxa"/>
          </w:tcPr>
          <w:p w14:paraId="4BC054A2" w14:textId="77777777" w:rsidR="002E4AF9" w:rsidRPr="00B326DC" w:rsidRDefault="00456FFE" w:rsidP="008C638D">
            <w:pPr>
              <w:pStyle w:val="NoSpacing"/>
              <w:jc w:val="both"/>
              <w:rPr>
                <w:rFonts w:cs="Calibri"/>
              </w:rPr>
            </w:pPr>
            <w:r>
              <w:rPr>
                <w:rFonts w:cs="Calibri"/>
              </w:rPr>
              <w:t>Liz Evans</w:t>
            </w:r>
            <w:r w:rsidR="00DF3B7B">
              <w:rPr>
                <w:rFonts w:cs="Calibri"/>
              </w:rPr>
              <w:t xml:space="preserve"> (Oncology Pharmacist)</w:t>
            </w:r>
          </w:p>
        </w:tc>
      </w:tr>
      <w:tr w:rsidR="002E4AF9" w:rsidRPr="00B326DC" w14:paraId="5DBD5B76" w14:textId="77777777" w:rsidTr="0F966544">
        <w:trPr>
          <w:jc w:val="center"/>
        </w:trPr>
        <w:tc>
          <w:tcPr>
            <w:tcW w:w="3353" w:type="dxa"/>
          </w:tcPr>
          <w:p w14:paraId="1E6FABB7" w14:textId="77777777" w:rsidR="002E4AF9" w:rsidRPr="00B326DC" w:rsidRDefault="002E4AF9" w:rsidP="008C638D">
            <w:pPr>
              <w:pStyle w:val="NoSpacing"/>
              <w:jc w:val="both"/>
              <w:rPr>
                <w:rFonts w:cs="Calibri"/>
              </w:rPr>
            </w:pPr>
            <w:r w:rsidRPr="00B326DC">
              <w:rPr>
                <w:rFonts w:cs="Calibri"/>
              </w:rPr>
              <w:t>Name of responsible committee:</w:t>
            </w:r>
          </w:p>
        </w:tc>
        <w:tc>
          <w:tcPr>
            <w:tcW w:w="7050" w:type="dxa"/>
          </w:tcPr>
          <w:p w14:paraId="3D1B5CA1" w14:textId="77777777" w:rsidR="002E4AF9" w:rsidRPr="00B326DC" w:rsidRDefault="00456FFE" w:rsidP="008C638D">
            <w:pPr>
              <w:pStyle w:val="NoSpacing"/>
              <w:jc w:val="both"/>
              <w:rPr>
                <w:rFonts w:cs="Calibri"/>
              </w:rPr>
            </w:pPr>
            <w:r>
              <w:rPr>
                <w:rFonts w:cs="Calibri"/>
              </w:rPr>
              <w:t>Chemotherapy Group</w:t>
            </w:r>
            <w:r w:rsidR="00021788">
              <w:rPr>
                <w:rFonts w:cs="Calibri"/>
              </w:rPr>
              <w:t xml:space="preserve"> </w:t>
            </w:r>
          </w:p>
        </w:tc>
      </w:tr>
      <w:tr w:rsidR="002E4AF9" w:rsidRPr="00B326DC" w14:paraId="0BD46DD8" w14:textId="77777777" w:rsidTr="0F966544">
        <w:trPr>
          <w:jc w:val="center"/>
        </w:trPr>
        <w:tc>
          <w:tcPr>
            <w:tcW w:w="3353" w:type="dxa"/>
          </w:tcPr>
          <w:p w14:paraId="446AA8F1" w14:textId="77777777" w:rsidR="002E4AF9" w:rsidRPr="00B326DC" w:rsidRDefault="002E4AF9" w:rsidP="008C638D">
            <w:pPr>
              <w:pStyle w:val="NoSpacing"/>
              <w:jc w:val="both"/>
              <w:rPr>
                <w:rFonts w:cs="Calibri"/>
              </w:rPr>
            </w:pPr>
            <w:r w:rsidRPr="00B326DC">
              <w:rPr>
                <w:rFonts w:cs="Calibri"/>
              </w:rPr>
              <w:t>Date issued:</w:t>
            </w:r>
          </w:p>
        </w:tc>
        <w:tc>
          <w:tcPr>
            <w:tcW w:w="7050" w:type="dxa"/>
          </w:tcPr>
          <w:p w14:paraId="4ADFEEAE" w14:textId="17D4C016" w:rsidR="002E4AF9" w:rsidRPr="00B326DC" w:rsidRDefault="00C338A6" w:rsidP="008C638D">
            <w:pPr>
              <w:pStyle w:val="NoSpacing"/>
              <w:jc w:val="both"/>
              <w:rPr>
                <w:rFonts w:cs="Calibri"/>
              </w:rPr>
            </w:pPr>
            <w:r>
              <w:rPr>
                <w:rFonts w:cs="Calibri"/>
              </w:rPr>
              <w:t>3.9.24</w:t>
            </w:r>
          </w:p>
        </w:tc>
      </w:tr>
      <w:tr w:rsidR="002E4AF9" w:rsidRPr="00B326DC" w14:paraId="19597021" w14:textId="77777777" w:rsidTr="0F966544">
        <w:trPr>
          <w:jc w:val="center"/>
        </w:trPr>
        <w:tc>
          <w:tcPr>
            <w:tcW w:w="3353" w:type="dxa"/>
          </w:tcPr>
          <w:p w14:paraId="6F86A8C5" w14:textId="77777777" w:rsidR="002E4AF9" w:rsidRPr="00B326DC" w:rsidRDefault="002E4AF9" w:rsidP="008C638D">
            <w:pPr>
              <w:pStyle w:val="NoSpacing"/>
              <w:jc w:val="both"/>
              <w:rPr>
                <w:rFonts w:cs="Calibri"/>
              </w:rPr>
            </w:pPr>
            <w:r w:rsidRPr="00B326DC">
              <w:rPr>
                <w:rFonts w:cs="Calibri"/>
              </w:rPr>
              <w:t>Review date:</w:t>
            </w:r>
          </w:p>
        </w:tc>
        <w:tc>
          <w:tcPr>
            <w:tcW w:w="7050" w:type="dxa"/>
          </w:tcPr>
          <w:p w14:paraId="1C057B57" w14:textId="005DE902" w:rsidR="002E4AF9" w:rsidRPr="00B326DC" w:rsidRDefault="00E83FBD" w:rsidP="008C638D">
            <w:pPr>
              <w:pStyle w:val="NoSpacing"/>
              <w:jc w:val="both"/>
              <w:rPr>
                <w:rFonts w:cs="Calibri"/>
              </w:rPr>
            </w:pPr>
            <w:r>
              <w:rPr>
                <w:rFonts w:cs="Calibri"/>
              </w:rPr>
              <w:t>September 2027</w:t>
            </w:r>
          </w:p>
        </w:tc>
      </w:tr>
    </w:tbl>
    <w:p w14:paraId="172F6C52" w14:textId="77777777" w:rsidR="00350296" w:rsidRPr="00B326DC" w:rsidRDefault="00350296" w:rsidP="008C638D">
      <w:pPr>
        <w:jc w:val="both"/>
        <w:rPr>
          <w:rFonts w:ascii="Calibri" w:hAnsi="Calibri" w:cs="Calibri"/>
        </w:rPr>
      </w:pPr>
    </w:p>
    <w:p w14:paraId="115B4076" w14:textId="77777777" w:rsidR="002E4AF9" w:rsidRPr="00B326DC" w:rsidRDefault="002E4AF9" w:rsidP="008C638D">
      <w:pPr>
        <w:pStyle w:val="NoSpacing"/>
        <w:jc w:val="both"/>
        <w:rPr>
          <w:rFonts w:cs="Calibr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198"/>
        <w:gridCol w:w="2322"/>
        <w:gridCol w:w="1298"/>
        <w:gridCol w:w="4091"/>
      </w:tblGrid>
      <w:tr w:rsidR="002E4AF9" w:rsidRPr="00B326DC" w14:paraId="37DF6CC5" w14:textId="77777777" w:rsidTr="00E157EF">
        <w:tc>
          <w:tcPr>
            <w:tcW w:w="10201" w:type="dxa"/>
            <w:gridSpan w:val="5"/>
            <w:shd w:val="pct20" w:color="auto" w:fill="auto"/>
          </w:tcPr>
          <w:p w14:paraId="74C4AAF5" w14:textId="77777777" w:rsidR="002E4AF9" w:rsidRPr="00B326DC" w:rsidRDefault="002E4AF9" w:rsidP="00860817">
            <w:pPr>
              <w:pStyle w:val="NoSpacing"/>
              <w:jc w:val="center"/>
              <w:rPr>
                <w:rFonts w:cs="Calibri"/>
              </w:rPr>
            </w:pPr>
            <w:r w:rsidRPr="00B326DC">
              <w:rPr>
                <w:rFonts w:cs="Calibri"/>
              </w:rPr>
              <w:t>Version Control Table</w:t>
            </w:r>
          </w:p>
        </w:tc>
      </w:tr>
      <w:tr w:rsidR="002E4AF9" w:rsidRPr="00B326DC" w14:paraId="609B97B0" w14:textId="77777777" w:rsidTr="00E157EF">
        <w:tc>
          <w:tcPr>
            <w:tcW w:w="1292" w:type="dxa"/>
            <w:shd w:val="pct10" w:color="auto" w:fill="auto"/>
          </w:tcPr>
          <w:p w14:paraId="115C8D79" w14:textId="77777777" w:rsidR="002E4AF9" w:rsidRPr="00B326DC" w:rsidRDefault="002E4AF9" w:rsidP="00860817">
            <w:pPr>
              <w:pStyle w:val="NoSpacing"/>
              <w:jc w:val="center"/>
              <w:rPr>
                <w:rFonts w:cs="Calibri"/>
              </w:rPr>
            </w:pPr>
            <w:r w:rsidRPr="00B326DC">
              <w:rPr>
                <w:rFonts w:cs="Calibri"/>
              </w:rPr>
              <w:t>Version</w:t>
            </w:r>
          </w:p>
        </w:tc>
        <w:tc>
          <w:tcPr>
            <w:tcW w:w="1198" w:type="dxa"/>
            <w:shd w:val="pct10" w:color="auto" w:fill="auto"/>
          </w:tcPr>
          <w:p w14:paraId="26AC0E82" w14:textId="77777777" w:rsidR="002E4AF9" w:rsidRPr="00B326DC" w:rsidRDefault="002E4AF9" w:rsidP="00860817">
            <w:pPr>
              <w:pStyle w:val="NoSpacing"/>
              <w:jc w:val="center"/>
              <w:rPr>
                <w:rFonts w:cs="Calibri"/>
              </w:rPr>
            </w:pPr>
            <w:r w:rsidRPr="00B326DC">
              <w:rPr>
                <w:rFonts w:cs="Calibri"/>
              </w:rPr>
              <w:t>Date</w:t>
            </w:r>
          </w:p>
        </w:tc>
        <w:tc>
          <w:tcPr>
            <w:tcW w:w="2322" w:type="dxa"/>
            <w:shd w:val="pct10" w:color="auto" w:fill="auto"/>
          </w:tcPr>
          <w:p w14:paraId="31B569DE" w14:textId="77777777" w:rsidR="002E4AF9" w:rsidRPr="00B326DC" w:rsidRDefault="002E4AF9" w:rsidP="00860817">
            <w:pPr>
              <w:pStyle w:val="NoSpacing"/>
              <w:jc w:val="center"/>
              <w:rPr>
                <w:rFonts w:cs="Calibri"/>
              </w:rPr>
            </w:pPr>
            <w:r w:rsidRPr="00B326DC">
              <w:rPr>
                <w:rFonts w:cs="Calibri"/>
              </w:rPr>
              <w:t>Author(s)</w:t>
            </w:r>
          </w:p>
        </w:tc>
        <w:tc>
          <w:tcPr>
            <w:tcW w:w="1298" w:type="dxa"/>
            <w:shd w:val="pct10" w:color="auto" w:fill="auto"/>
          </w:tcPr>
          <w:p w14:paraId="17AB3EEB" w14:textId="77777777" w:rsidR="002E4AF9" w:rsidRPr="00B326DC" w:rsidRDefault="002E4AF9" w:rsidP="00860817">
            <w:pPr>
              <w:pStyle w:val="NoSpacing"/>
              <w:jc w:val="center"/>
              <w:rPr>
                <w:rFonts w:cs="Calibri"/>
              </w:rPr>
            </w:pPr>
            <w:r w:rsidRPr="00B326DC">
              <w:rPr>
                <w:rFonts w:cs="Calibri"/>
              </w:rPr>
              <w:t>Status</w:t>
            </w:r>
          </w:p>
        </w:tc>
        <w:tc>
          <w:tcPr>
            <w:tcW w:w="4091" w:type="dxa"/>
            <w:shd w:val="pct10" w:color="auto" w:fill="auto"/>
          </w:tcPr>
          <w:p w14:paraId="1F998BF9" w14:textId="77777777" w:rsidR="002E4AF9" w:rsidRPr="00B326DC" w:rsidRDefault="002E4AF9" w:rsidP="00860817">
            <w:pPr>
              <w:pStyle w:val="NoSpacing"/>
              <w:jc w:val="center"/>
              <w:rPr>
                <w:rFonts w:cs="Calibri"/>
              </w:rPr>
            </w:pPr>
            <w:r w:rsidRPr="00B326DC">
              <w:rPr>
                <w:rFonts w:cs="Calibri"/>
              </w:rPr>
              <w:t>Comment(s)</w:t>
            </w:r>
          </w:p>
        </w:tc>
      </w:tr>
      <w:tr w:rsidR="00C338A6" w:rsidRPr="00B326DC" w14:paraId="65E84970" w14:textId="77777777" w:rsidTr="00E157EF">
        <w:tc>
          <w:tcPr>
            <w:tcW w:w="1292" w:type="dxa"/>
          </w:tcPr>
          <w:p w14:paraId="2EEF7375" w14:textId="1B564AF8" w:rsidR="00C338A6" w:rsidRPr="00B326DC" w:rsidRDefault="00C338A6" w:rsidP="00860817">
            <w:pPr>
              <w:pStyle w:val="NoSpacing"/>
              <w:jc w:val="center"/>
              <w:rPr>
                <w:rFonts w:cs="Calibri"/>
              </w:rPr>
            </w:pPr>
            <w:r>
              <w:rPr>
                <w:rFonts w:cs="Calibri"/>
              </w:rPr>
              <w:t>2</w:t>
            </w:r>
          </w:p>
        </w:tc>
        <w:tc>
          <w:tcPr>
            <w:tcW w:w="1198" w:type="dxa"/>
          </w:tcPr>
          <w:p w14:paraId="332D0E85" w14:textId="3C896AEA" w:rsidR="00C338A6" w:rsidRDefault="00E83FBD" w:rsidP="00860817">
            <w:pPr>
              <w:pStyle w:val="NoSpacing"/>
              <w:jc w:val="center"/>
              <w:rPr>
                <w:rFonts w:cs="Calibri"/>
              </w:rPr>
            </w:pPr>
            <w:r>
              <w:rPr>
                <w:rFonts w:cs="Calibri"/>
              </w:rPr>
              <w:t>Sep 24</w:t>
            </w:r>
          </w:p>
        </w:tc>
        <w:tc>
          <w:tcPr>
            <w:tcW w:w="2322" w:type="dxa"/>
          </w:tcPr>
          <w:p w14:paraId="6292D4F0" w14:textId="56D19676" w:rsidR="00C338A6" w:rsidRDefault="00C338A6" w:rsidP="00860817">
            <w:pPr>
              <w:pStyle w:val="NoSpacing"/>
              <w:jc w:val="center"/>
              <w:rPr>
                <w:rFonts w:cs="Calibri"/>
              </w:rPr>
            </w:pPr>
            <w:r>
              <w:rPr>
                <w:rFonts w:cs="Calibri"/>
              </w:rPr>
              <w:t>Liz Evans</w:t>
            </w:r>
          </w:p>
        </w:tc>
        <w:tc>
          <w:tcPr>
            <w:tcW w:w="1298" w:type="dxa"/>
          </w:tcPr>
          <w:p w14:paraId="35FFE61C" w14:textId="3078E83B" w:rsidR="00C338A6" w:rsidRDefault="00C338A6" w:rsidP="00860817">
            <w:pPr>
              <w:pStyle w:val="NoSpacing"/>
              <w:jc w:val="center"/>
              <w:rPr>
                <w:rFonts w:cs="Calibri"/>
              </w:rPr>
            </w:pPr>
            <w:r>
              <w:rPr>
                <w:rFonts w:cs="Calibri"/>
              </w:rPr>
              <w:t>Current</w:t>
            </w:r>
          </w:p>
        </w:tc>
        <w:tc>
          <w:tcPr>
            <w:tcW w:w="4091" w:type="dxa"/>
          </w:tcPr>
          <w:p w14:paraId="352BA1BB" w14:textId="77777777" w:rsidR="00C338A6" w:rsidRPr="00B326DC" w:rsidRDefault="00C338A6" w:rsidP="00860817">
            <w:pPr>
              <w:pStyle w:val="NoSpacing"/>
              <w:jc w:val="center"/>
              <w:rPr>
                <w:rFonts w:cs="Calibri"/>
              </w:rPr>
            </w:pPr>
          </w:p>
        </w:tc>
      </w:tr>
      <w:tr w:rsidR="00350296" w:rsidRPr="00B326DC" w14:paraId="1D03EC73" w14:textId="77777777" w:rsidTr="00E157EF">
        <w:tc>
          <w:tcPr>
            <w:tcW w:w="1292" w:type="dxa"/>
          </w:tcPr>
          <w:p w14:paraId="4C1718AC" w14:textId="77777777" w:rsidR="00350296" w:rsidRPr="00B326DC" w:rsidRDefault="00350296" w:rsidP="00860817">
            <w:pPr>
              <w:pStyle w:val="NoSpacing"/>
              <w:jc w:val="center"/>
              <w:rPr>
                <w:rFonts w:cs="Calibri"/>
              </w:rPr>
            </w:pPr>
            <w:r w:rsidRPr="00B326DC">
              <w:rPr>
                <w:rFonts w:cs="Calibri"/>
              </w:rPr>
              <w:t>1</w:t>
            </w:r>
          </w:p>
        </w:tc>
        <w:tc>
          <w:tcPr>
            <w:tcW w:w="1198" w:type="dxa"/>
          </w:tcPr>
          <w:p w14:paraId="2D1A613E" w14:textId="77777777" w:rsidR="00350296" w:rsidRPr="00B326DC" w:rsidRDefault="00A17C70" w:rsidP="00860817">
            <w:pPr>
              <w:pStyle w:val="NoSpacing"/>
              <w:jc w:val="center"/>
              <w:rPr>
                <w:rFonts w:cs="Calibri"/>
              </w:rPr>
            </w:pPr>
            <w:r>
              <w:rPr>
                <w:rFonts w:cs="Calibri"/>
              </w:rPr>
              <w:t>Jul 21</w:t>
            </w:r>
          </w:p>
        </w:tc>
        <w:tc>
          <w:tcPr>
            <w:tcW w:w="2322" w:type="dxa"/>
          </w:tcPr>
          <w:p w14:paraId="68114A6F" w14:textId="77777777" w:rsidR="00350296" w:rsidRPr="00B326DC" w:rsidRDefault="00F6183A" w:rsidP="00860817">
            <w:pPr>
              <w:pStyle w:val="NoSpacing"/>
              <w:jc w:val="center"/>
              <w:rPr>
                <w:rFonts w:cs="Calibri"/>
              </w:rPr>
            </w:pPr>
            <w:r>
              <w:rPr>
                <w:rFonts w:cs="Calibri"/>
              </w:rPr>
              <w:t>Liz Evans</w:t>
            </w:r>
          </w:p>
        </w:tc>
        <w:tc>
          <w:tcPr>
            <w:tcW w:w="1298" w:type="dxa"/>
          </w:tcPr>
          <w:p w14:paraId="7A616607" w14:textId="0FE2403B" w:rsidR="00350296" w:rsidRPr="00B326DC" w:rsidRDefault="0078611C" w:rsidP="00860817">
            <w:pPr>
              <w:pStyle w:val="NoSpacing"/>
              <w:jc w:val="center"/>
              <w:rPr>
                <w:rFonts w:cs="Calibri"/>
              </w:rPr>
            </w:pPr>
            <w:r>
              <w:rPr>
                <w:rFonts w:cs="Calibri"/>
              </w:rPr>
              <w:t>Archived</w:t>
            </w:r>
          </w:p>
        </w:tc>
        <w:tc>
          <w:tcPr>
            <w:tcW w:w="4091" w:type="dxa"/>
          </w:tcPr>
          <w:p w14:paraId="0594155B" w14:textId="77777777" w:rsidR="00350296" w:rsidRPr="00B326DC" w:rsidRDefault="00350296" w:rsidP="00860817">
            <w:pPr>
              <w:pStyle w:val="NoSpacing"/>
              <w:jc w:val="center"/>
              <w:rPr>
                <w:rFonts w:cs="Calibri"/>
              </w:rPr>
            </w:pPr>
          </w:p>
        </w:tc>
      </w:tr>
    </w:tbl>
    <w:p w14:paraId="3A92A795" w14:textId="77777777" w:rsidR="002E4AF9" w:rsidRPr="00B326DC" w:rsidRDefault="002E4AF9" w:rsidP="008C638D">
      <w:pPr>
        <w:pStyle w:val="NoSpacing"/>
        <w:jc w:val="both"/>
        <w:rPr>
          <w:rFonts w:cs="Calibri"/>
          <w:b/>
        </w:rPr>
      </w:pPr>
    </w:p>
    <w:p w14:paraId="2733D4A0" w14:textId="77777777" w:rsidR="00350296" w:rsidRPr="00B326DC" w:rsidRDefault="00350296" w:rsidP="008C638D">
      <w:pPr>
        <w:pStyle w:val="NoSpacing"/>
        <w:jc w:val="both"/>
        <w:rPr>
          <w:rFonts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245"/>
        <w:gridCol w:w="3638"/>
        <w:gridCol w:w="3688"/>
      </w:tblGrid>
      <w:tr w:rsidR="002E4AF9" w:rsidRPr="00B326DC" w14:paraId="50D00CAF" w14:textId="77777777" w:rsidTr="2A199454">
        <w:trPr>
          <w:jc w:val="center"/>
        </w:trPr>
        <w:tc>
          <w:tcPr>
            <w:tcW w:w="10195" w:type="dxa"/>
            <w:gridSpan w:val="4"/>
            <w:shd w:val="clear" w:color="auto" w:fill="auto"/>
          </w:tcPr>
          <w:p w14:paraId="0A70BB45" w14:textId="77777777" w:rsidR="002E4AF9" w:rsidRPr="00B326DC" w:rsidRDefault="002E4AF9" w:rsidP="00E157EF">
            <w:pPr>
              <w:pStyle w:val="NoSpacing"/>
              <w:jc w:val="center"/>
              <w:rPr>
                <w:rFonts w:cs="Calibri"/>
              </w:rPr>
            </w:pPr>
            <w:r w:rsidRPr="00B326DC">
              <w:rPr>
                <w:rFonts w:cs="Calibri"/>
              </w:rPr>
              <w:t>Review and Revision(s) Log</w:t>
            </w:r>
          </w:p>
          <w:p w14:paraId="21CD01F0" w14:textId="77777777" w:rsidR="002E4AF9" w:rsidRPr="00B326DC" w:rsidRDefault="002E4AF9" w:rsidP="00E157EF">
            <w:pPr>
              <w:pStyle w:val="NoSpacing"/>
              <w:jc w:val="center"/>
              <w:rPr>
                <w:rFonts w:cs="Calibri"/>
                <w:i/>
              </w:rPr>
            </w:pPr>
            <w:r w:rsidRPr="00B326DC">
              <w:rPr>
                <w:rFonts w:cs="Calibri"/>
                <w:i/>
              </w:rPr>
              <w:t>Record of revision(s) made to guidelines since Version 1</w:t>
            </w:r>
          </w:p>
        </w:tc>
      </w:tr>
      <w:tr w:rsidR="002E4AF9" w:rsidRPr="00B326DC" w14:paraId="61788633" w14:textId="77777777" w:rsidTr="2A199454">
        <w:trPr>
          <w:jc w:val="center"/>
        </w:trPr>
        <w:tc>
          <w:tcPr>
            <w:tcW w:w="1572" w:type="dxa"/>
            <w:shd w:val="clear" w:color="auto" w:fill="auto"/>
            <w:vAlign w:val="center"/>
          </w:tcPr>
          <w:p w14:paraId="58836DC3" w14:textId="77777777" w:rsidR="002E4AF9" w:rsidRPr="00B326DC" w:rsidRDefault="002E4AF9" w:rsidP="00E157EF">
            <w:pPr>
              <w:pStyle w:val="NoSpacing"/>
              <w:jc w:val="center"/>
              <w:rPr>
                <w:rFonts w:cs="Calibri"/>
              </w:rPr>
            </w:pPr>
            <w:r w:rsidRPr="00B326DC">
              <w:rPr>
                <w:rFonts w:cs="Calibri"/>
              </w:rPr>
              <w:t>Section</w:t>
            </w:r>
          </w:p>
          <w:p w14:paraId="4516CA06" w14:textId="77777777" w:rsidR="002E4AF9" w:rsidRPr="00B326DC" w:rsidRDefault="002E4AF9" w:rsidP="00E157EF">
            <w:pPr>
              <w:pStyle w:val="NoSpacing"/>
              <w:jc w:val="center"/>
              <w:rPr>
                <w:rFonts w:cs="Calibri"/>
              </w:rPr>
            </w:pPr>
            <w:r w:rsidRPr="00B326DC">
              <w:rPr>
                <w:rFonts w:cs="Calibri"/>
              </w:rPr>
              <w:t>Number</w:t>
            </w:r>
          </w:p>
        </w:tc>
        <w:tc>
          <w:tcPr>
            <w:tcW w:w="1249" w:type="dxa"/>
            <w:shd w:val="clear" w:color="auto" w:fill="auto"/>
            <w:vAlign w:val="center"/>
          </w:tcPr>
          <w:p w14:paraId="16512F82" w14:textId="77777777" w:rsidR="002E4AF9" w:rsidRPr="00B326DC" w:rsidRDefault="002E4AF9" w:rsidP="00E157EF">
            <w:pPr>
              <w:pStyle w:val="NoSpacing"/>
              <w:jc w:val="center"/>
              <w:rPr>
                <w:rFonts w:cs="Calibri"/>
              </w:rPr>
            </w:pPr>
            <w:r w:rsidRPr="00B326DC">
              <w:rPr>
                <w:rFonts w:cs="Calibri"/>
              </w:rPr>
              <w:t>Page</w:t>
            </w:r>
          </w:p>
          <w:p w14:paraId="43985436" w14:textId="77777777" w:rsidR="002E4AF9" w:rsidRPr="00B326DC" w:rsidRDefault="002E4AF9" w:rsidP="00E157EF">
            <w:pPr>
              <w:pStyle w:val="NoSpacing"/>
              <w:jc w:val="center"/>
              <w:rPr>
                <w:rFonts w:cs="Calibri"/>
              </w:rPr>
            </w:pPr>
            <w:r w:rsidRPr="00B326DC">
              <w:rPr>
                <w:rFonts w:cs="Calibri"/>
              </w:rPr>
              <w:t>Number</w:t>
            </w:r>
          </w:p>
        </w:tc>
        <w:tc>
          <w:tcPr>
            <w:tcW w:w="3663" w:type="dxa"/>
            <w:shd w:val="clear" w:color="auto" w:fill="auto"/>
            <w:vAlign w:val="center"/>
          </w:tcPr>
          <w:p w14:paraId="45E3681E" w14:textId="77777777" w:rsidR="002E4AF9" w:rsidRPr="00B326DC" w:rsidRDefault="002E4AF9" w:rsidP="00E157EF">
            <w:pPr>
              <w:pStyle w:val="NoSpacing"/>
              <w:jc w:val="center"/>
              <w:rPr>
                <w:rFonts w:cs="Calibri"/>
              </w:rPr>
            </w:pPr>
            <w:r w:rsidRPr="00B326DC">
              <w:rPr>
                <w:rFonts w:cs="Calibri"/>
              </w:rPr>
              <w:t>Revision(s) made</w:t>
            </w:r>
          </w:p>
        </w:tc>
        <w:tc>
          <w:tcPr>
            <w:tcW w:w="3711" w:type="dxa"/>
            <w:shd w:val="clear" w:color="auto" w:fill="auto"/>
            <w:vAlign w:val="center"/>
          </w:tcPr>
          <w:p w14:paraId="401E3232" w14:textId="77777777" w:rsidR="002E4AF9" w:rsidRPr="00B326DC" w:rsidRDefault="002E4AF9" w:rsidP="00E157EF">
            <w:pPr>
              <w:pStyle w:val="NoSpacing"/>
              <w:jc w:val="center"/>
              <w:rPr>
                <w:rFonts w:cs="Calibri"/>
              </w:rPr>
            </w:pPr>
            <w:r w:rsidRPr="00B326DC">
              <w:rPr>
                <w:rFonts w:cs="Calibri"/>
              </w:rPr>
              <w:t>Reason for revision(s)</w:t>
            </w:r>
          </w:p>
        </w:tc>
      </w:tr>
      <w:tr w:rsidR="00F97299" w:rsidRPr="00B326DC" w14:paraId="6E12BD13" w14:textId="77777777" w:rsidTr="2A199454">
        <w:trPr>
          <w:jc w:val="center"/>
        </w:trPr>
        <w:tc>
          <w:tcPr>
            <w:tcW w:w="1572" w:type="dxa"/>
          </w:tcPr>
          <w:p w14:paraId="32BA6464" w14:textId="778BB9CF" w:rsidR="00F97299" w:rsidRDefault="00F97299" w:rsidP="00F97299">
            <w:pPr>
              <w:pStyle w:val="NoSpacing"/>
              <w:jc w:val="center"/>
              <w:rPr>
                <w:rFonts w:cs="Calibri"/>
              </w:rPr>
            </w:pPr>
            <w:r>
              <w:rPr>
                <w:rFonts w:cs="Calibri"/>
              </w:rPr>
              <w:t>Recommended fluids</w:t>
            </w:r>
          </w:p>
        </w:tc>
        <w:tc>
          <w:tcPr>
            <w:tcW w:w="1249" w:type="dxa"/>
          </w:tcPr>
          <w:p w14:paraId="33AA1AE2" w14:textId="46642BF1" w:rsidR="00F97299" w:rsidRDefault="00F97299" w:rsidP="00F97299">
            <w:pPr>
              <w:pStyle w:val="NoSpacing"/>
              <w:jc w:val="center"/>
              <w:rPr>
                <w:rFonts w:cs="Calibri"/>
              </w:rPr>
            </w:pPr>
            <w:r>
              <w:rPr>
                <w:rFonts w:cs="Calibri"/>
              </w:rPr>
              <w:t>1</w:t>
            </w:r>
          </w:p>
        </w:tc>
        <w:tc>
          <w:tcPr>
            <w:tcW w:w="3663" w:type="dxa"/>
          </w:tcPr>
          <w:p w14:paraId="1FD61FAD" w14:textId="0BF68C34" w:rsidR="00F97299" w:rsidRDefault="00F97299" w:rsidP="00F97299">
            <w:pPr>
              <w:pStyle w:val="NoSpacing"/>
              <w:jc w:val="center"/>
              <w:rPr>
                <w:rFonts w:cs="Calibri"/>
              </w:rPr>
            </w:pPr>
            <w:r>
              <w:rPr>
                <w:rFonts w:cs="Calibri"/>
              </w:rPr>
              <w:t>Preparation of electrolyte hydration</w:t>
            </w:r>
          </w:p>
        </w:tc>
        <w:tc>
          <w:tcPr>
            <w:tcW w:w="3711" w:type="dxa"/>
          </w:tcPr>
          <w:p w14:paraId="748A05F0" w14:textId="0C6D5D97" w:rsidR="00F97299" w:rsidRDefault="00F97299" w:rsidP="00F97299">
            <w:pPr>
              <w:pStyle w:val="NoSpacing"/>
              <w:jc w:val="center"/>
              <w:rPr>
                <w:rFonts w:cs="Calibri"/>
              </w:rPr>
            </w:pPr>
            <w:r>
              <w:rPr>
                <w:rFonts w:cs="Calibri"/>
              </w:rPr>
              <w:t>Contingency for disruption to supply</w:t>
            </w:r>
          </w:p>
        </w:tc>
      </w:tr>
      <w:tr w:rsidR="00733E9E" w:rsidRPr="00B326DC" w14:paraId="11CB0EBB" w14:textId="77777777" w:rsidTr="2A199454">
        <w:trPr>
          <w:jc w:val="center"/>
        </w:trPr>
        <w:tc>
          <w:tcPr>
            <w:tcW w:w="1572" w:type="dxa"/>
          </w:tcPr>
          <w:p w14:paraId="39C7CBC5" w14:textId="3A06730F" w:rsidR="00733E9E" w:rsidRDefault="00733E9E" w:rsidP="00733E9E">
            <w:pPr>
              <w:pStyle w:val="NoSpacing"/>
              <w:jc w:val="center"/>
              <w:rPr>
                <w:rFonts w:cs="Calibri"/>
              </w:rPr>
            </w:pPr>
            <w:r>
              <w:rPr>
                <w:rFonts w:cs="Calibri"/>
              </w:rPr>
              <w:t>Calcium Folinate Rescue</w:t>
            </w:r>
          </w:p>
        </w:tc>
        <w:tc>
          <w:tcPr>
            <w:tcW w:w="1249" w:type="dxa"/>
          </w:tcPr>
          <w:p w14:paraId="40E110C5" w14:textId="2478E742" w:rsidR="00733E9E" w:rsidRDefault="00733E9E" w:rsidP="00733E9E">
            <w:pPr>
              <w:pStyle w:val="NoSpacing"/>
              <w:jc w:val="center"/>
              <w:rPr>
                <w:rFonts w:cs="Calibri"/>
              </w:rPr>
            </w:pPr>
            <w:r>
              <w:rPr>
                <w:rFonts w:cs="Calibri"/>
              </w:rPr>
              <w:t>5</w:t>
            </w:r>
          </w:p>
        </w:tc>
        <w:tc>
          <w:tcPr>
            <w:tcW w:w="3663" w:type="dxa"/>
          </w:tcPr>
          <w:p w14:paraId="154D24FE" w14:textId="4D4C9C87" w:rsidR="00733E9E" w:rsidRDefault="00733E9E" w:rsidP="2A199454">
            <w:pPr>
              <w:pStyle w:val="NoSpacing"/>
              <w:jc w:val="center"/>
              <w:rPr>
                <w:rFonts w:cs="Calibri"/>
                <w:lang w:val="en-US"/>
              </w:rPr>
            </w:pPr>
            <w:r w:rsidRPr="2A199454">
              <w:rPr>
                <w:rFonts w:cs="Calibri"/>
                <w:lang w:val="en-US"/>
              </w:rPr>
              <w:t xml:space="preserve">Sodium </w:t>
            </w:r>
            <w:proofErr w:type="spellStart"/>
            <w:r w:rsidRPr="2A199454">
              <w:rPr>
                <w:rFonts w:cs="Calibri"/>
                <w:lang w:val="en-US"/>
              </w:rPr>
              <w:t>levofolinate</w:t>
            </w:r>
            <w:proofErr w:type="spellEnd"/>
            <w:r w:rsidRPr="2A199454">
              <w:rPr>
                <w:rFonts w:cs="Calibri"/>
                <w:lang w:val="en-US"/>
              </w:rPr>
              <w:t xml:space="preserve"> added</w:t>
            </w:r>
          </w:p>
        </w:tc>
        <w:tc>
          <w:tcPr>
            <w:tcW w:w="3711" w:type="dxa"/>
          </w:tcPr>
          <w:p w14:paraId="4B90EC6E" w14:textId="0F1DC0CF" w:rsidR="00733E9E" w:rsidRDefault="00733E9E" w:rsidP="2A199454">
            <w:pPr>
              <w:pStyle w:val="NoSpacing"/>
              <w:jc w:val="center"/>
              <w:rPr>
                <w:rFonts w:cs="Calibri"/>
                <w:lang w:val="en-US"/>
              </w:rPr>
            </w:pPr>
            <w:r w:rsidRPr="2A199454">
              <w:rPr>
                <w:rFonts w:cs="Calibri"/>
                <w:lang w:val="en-US"/>
              </w:rPr>
              <w:t xml:space="preserve">For patients with </w:t>
            </w:r>
            <w:proofErr w:type="spellStart"/>
            <w:r w:rsidRPr="2A199454">
              <w:rPr>
                <w:rFonts w:cs="Calibri"/>
                <w:lang w:val="en-US"/>
              </w:rPr>
              <w:t>hypercalcaemia</w:t>
            </w:r>
            <w:proofErr w:type="spellEnd"/>
          </w:p>
        </w:tc>
      </w:tr>
      <w:tr w:rsidR="00AD6800" w:rsidRPr="00B326DC" w14:paraId="2A05F1B3" w14:textId="77777777" w:rsidTr="2A199454">
        <w:trPr>
          <w:jc w:val="center"/>
        </w:trPr>
        <w:tc>
          <w:tcPr>
            <w:tcW w:w="1572" w:type="dxa"/>
          </w:tcPr>
          <w:p w14:paraId="1AB88A1E" w14:textId="2BB20984" w:rsidR="00AD6800" w:rsidRDefault="00AD6800" w:rsidP="00AD6800">
            <w:pPr>
              <w:pStyle w:val="NoSpacing"/>
              <w:jc w:val="center"/>
              <w:rPr>
                <w:rFonts w:cs="Calibri"/>
              </w:rPr>
            </w:pPr>
            <w:r>
              <w:rPr>
                <w:rFonts w:cs="Calibri"/>
              </w:rPr>
              <w:t>Hyperhydration and sodium bicarbonate</w:t>
            </w:r>
          </w:p>
        </w:tc>
        <w:tc>
          <w:tcPr>
            <w:tcW w:w="1249" w:type="dxa"/>
          </w:tcPr>
          <w:p w14:paraId="34975A5F" w14:textId="6823D602" w:rsidR="00AD6800" w:rsidRDefault="00AD6800" w:rsidP="00AD6800">
            <w:pPr>
              <w:pStyle w:val="NoSpacing"/>
              <w:jc w:val="center"/>
              <w:rPr>
                <w:rFonts w:cs="Calibri"/>
              </w:rPr>
            </w:pPr>
            <w:r>
              <w:rPr>
                <w:rFonts w:cs="Calibri"/>
              </w:rPr>
              <w:t>5</w:t>
            </w:r>
          </w:p>
        </w:tc>
        <w:tc>
          <w:tcPr>
            <w:tcW w:w="3663" w:type="dxa"/>
          </w:tcPr>
          <w:p w14:paraId="2D72AE34" w14:textId="41D5E863" w:rsidR="00AD6800" w:rsidRDefault="00AD6800" w:rsidP="2A199454">
            <w:pPr>
              <w:pStyle w:val="NoSpacing"/>
              <w:jc w:val="center"/>
              <w:rPr>
                <w:rFonts w:cs="Calibri"/>
                <w:lang w:val="en-US"/>
              </w:rPr>
            </w:pPr>
            <w:r w:rsidRPr="2A199454">
              <w:rPr>
                <w:rFonts w:cs="Calibri"/>
                <w:lang w:val="en-US"/>
              </w:rPr>
              <w:t xml:space="preserve">Increased rate of sodium bicarbonate during </w:t>
            </w:r>
            <w:proofErr w:type="spellStart"/>
            <w:r w:rsidRPr="2A199454">
              <w:rPr>
                <w:rFonts w:cs="Calibri"/>
                <w:lang w:val="en-US"/>
              </w:rPr>
              <w:t>prehydration</w:t>
            </w:r>
            <w:proofErr w:type="spellEnd"/>
          </w:p>
        </w:tc>
        <w:tc>
          <w:tcPr>
            <w:tcW w:w="3711" w:type="dxa"/>
          </w:tcPr>
          <w:p w14:paraId="2391C381" w14:textId="4640F9C0" w:rsidR="00AD6800" w:rsidRDefault="00AD6800" w:rsidP="00AD6800">
            <w:pPr>
              <w:pStyle w:val="NoSpacing"/>
              <w:jc w:val="center"/>
              <w:rPr>
                <w:rFonts w:cs="Calibri"/>
              </w:rPr>
            </w:pPr>
            <w:r>
              <w:rPr>
                <w:rFonts w:cs="Calibri"/>
              </w:rPr>
              <w:t>New protocols</w:t>
            </w:r>
          </w:p>
        </w:tc>
      </w:tr>
      <w:tr w:rsidR="00AD6800" w:rsidRPr="00B326DC" w14:paraId="0D71AEB2" w14:textId="77777777" w:rsidTr="2A199454">
        <w:trPr>
          <w:jc w:val="center"/>
        </w:trPr>
        <w:tc>
          <w:tcPr>
            <w:tcW w:w="1572" w:type="dxa"/>
          </w:tcPr>
          <w:p w14:paraId="67C12ACA" w14:textId="0DAE6CF3" w:rsidR="00AD6800" w:rsidRPr="00B326DC" w:rsidRDefault="00AD6800" w:rsidP="00AD6800">
            <w:pPr>
              <w:pStyle w:val="NoSpacing"/>
              <w:jc w:val="center"/>
              <w:rPr>
                <w:rFonts w:cs="Calibri"/>
              </w:rPr>
            </w:pPr>
            <w:r>
              <w:rPr>
                <w:rFonts w:cs="Calibri"/>
              </w:rPr>
              <w:t>Melphalan</w:t>
            </w:r>
          </w:p>
        </w:tc>
        <w:tc>
          <w:tcPr>
            <w:tcW w:w="1249" w:type="dxa"/>
          </w:tcPr>
          <w:p w14:paraId="78938688" w14:textId="689BEAA5" w:rsidR="00AD6800" w:rsidRPr="00B326DC" w:rsidRDefault="00AD6800" w:rsidP="00AD6800">
            <w:pPr>
              <w:pStyle w:val="NoSpacing"/>
              <w:jc w:val="center"/>
              <w:rPr>
                <w:rFonts w:cs="Calibri"/>
              </w:rPr>
            </w:pPr>
            <w:r>
              <w:rPr>
                <w:rFonts w:cs="Calibri"/>
              </w:rPr>
              <w:t>5</w:t>
            </w:r>
          </w:p>
        </w:tc>
        <w:tc>
          <w:tcPr>
            <w:tcW w:w="3663" w:type="dxa"/>
          </w:tcPr>
          <w:p w14:paraId="4E9D18F9" w14:textId="019885D4" w:rsidR="00AD6800" w:rsidRPr="00B326DC" w:rsidRDefault="00AD6800" w:rsidP="2A199454">
            <w:pPr>
              <w:pStyle w:val="NoSpacing"/>
              <w:jc w:val="center"/>
              <w:rPr>
                <w:rFonts w:cs="Calibri"/>
                <w:lang w:val="en-US"/>
              </w:rPr>
            </w:pPr>
            <w:proofErr w:type="spellStart"/>
            <w:r w:rsidRPr="2A199454">
              <w:rPr>
                <w:rFonts w:cs="Calibri"/>
                <w:lang w:val="en-US"/>
              </w:rPr>
              <w:t>Prehydration</w:t>
            </w:r>
            <w:proofErr w:type="spellEnd"/>
            <w:r w:rsidRPr="2A199454">
              <w:rPr>
                <w:rFonts w:cs="Calibri"/>
                <w:lang w:val="en-US"/>
              </w:rPr>
              <w:t xml:space="preserve"> duration added</w:t>
            </w:r>
          </w:p>
        </w:tc>
        <w:tc>
          <w:tcPr>
            <w:tcW w:w="3711" w:type="dxa"/>
          </w:tcPr>
          <w:p w14:paraId="7BD3F52D" w14:textId="2FFE57E7" w:rsidR="00AD6800" w:rsidRPr="00B326DC" w:rsidRDefault="00AD6800" w:rsidP="00AD6800">
            <w:pPr>
              <w:pStyle w:val="NoSpacing"/>
              <w:jc w:val="center"/>
              <w:rPr>
                <w:rFonts w:cs="Calibri"/>
              </w:rPr>
            </w:pPr>
            <w:r>
              <w:rPr>
                <w:rFonts w:cs="Calibri"/>
              </w:rPr>
              <w:t>For clarity</w:t>
            </w:r>
          </w:p>
        </w:tc>
      </w:tr>
    </w:tbl>
    <w:p w14:paraId="5D479324" w14:textId="77777777" w:rsidR="00405C80" w:rsidRPr="00B326DC" w:rsidRDefault="00405C80" w:rsidP="00E83FBD">
      <w:pPr>
        <w:jc w:val="both"/>
        <w:rPr>
          <w:rFonts w:ascii="Calibri" w:hAnsi="Calibri" w:cs="Calibri"/>
          <w:sz w:val="20"/>
          <w:szCs w:val="20"/>
        </w:rPr>
      </w:pPr>
    </w:p>
    <w:sectPr w:rsidR="00405C80" w:rsidRPr="00B326DC" w:rsidSect="000D0B45">
      <w:headerReference w:type="default" r:id="rId11"/>
      <w:footerReference w:type="default" r:id="rId12"/>
      <w:pgSz w:w="11907" w:h="16839"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1F014" w14:textId="77777777" w:rsidR="0068057D" w:rsidRDefault="0068057D">
      <w:r>
        <w:separator/>
      </w:r>
    </w:p>
  </w:endnote>
  <w:endnote w:type="continuationSeparator" w:id="0">
    <w:p w14:paraId="356961A6" w14:textId="77777777" w:rsidR="0068057D" w:rsidRDefault="0068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F6A8" w14:textId="7B2E53B0" w:rsidR="00DF3B7B" w:rsidRPr="0017193E" w:rsidRDefault="00DF3B7B" w:rsidP="00DF3B7B">
    <w:pPr>
      <w:pStyle w:val="Footer"/>
      <w:pBdr>
        <w:top w:val="single" w:sz="4" w:space="1" w:color="D9D9D9"/>
      </w:pBdr>
      <w:rPr>
        <w:rFonts w:ascii="Calibri" w:hAnsi="Calibri" w:cs="Calibri"/>
        <w:sz w:val="20"/>
        <w:szCs w:val="20"/>
      </w:rPr>
    </w:pPr>
    <w:r w:rsidRPr="0017193E">
      <w:rPr>
        <w:rFonts w:ascii="Calibri" w:hAnsi="Calibri" w:cs="Calibri"/>
        <w:sz w:val="20"/>
        <w:szCs w:val="20"/>
      </w:rPr>
      <w:t xml:space="preserve">Issued: </w:t>
    </w:r>
    <w:r w:rsidR="00C338A6">
      <w:rPr>
        <w:rFonts w:ascii="Calibri" w:hAnsi="Calibri" w:cs="Calibri"/>
        <w:sz w:val="20"/>
        <w:szCs w:val="20"/>
      </w:rPr>
      <w:t>3.9.24</w:t>
    </w:r>
    <w:r>
      <w:rPr>
        <w:rFonts w:ascii="Calibri" w:hAnsi="Calibri" w:cs="Calibri"/>
        <w:sz w:val="20"/>
        <w:szCs w:val="20"/>
      </w:rPr>
      <w:t xml:space="preserve">           </w:t>
    </w:r>
    <w:r w:rsidRPr="0017193E">
      <w:rPr>
        <w:rFonts w:ascii="Calibri" w:hAnsi="Calibri" w:cs="Calibri"/>
        <w:sz w:val="20"/>
        <w:szCs w:val="20"/>
      </w:rPr>
      <w:tab/>
    </w:r>
    <w:r w:rsidRPr="0017193E">
      <w:rPr>
        <w:rFonts w:ascii="Calibri" w:hAnsi="Calibri" w:cs="Calibri"/>
        <w:sz w:val="20"/>
        <w:szCs w:val="20"/>
      </w:rPr>
      <w:tab/>
      <w:t xml:space="preserve">    </w:t>
    </w:r>
    <w:r>
      <w:rPr>
        <w:rFonts w:ascii="Calibri" w:hAnsi="Calibri" w:cs="Calibri"/>
        <w:sz w:val="20"/>
        <w:szCs w:val="20"/>
      </w:rPr>
      <w:t xml:space="preserve">                                                                                                    </w:t>
    </w:r>
    <w:r w:rsidRPr="0017193E">
      <w:rPr>
        <w:rFonts w:ascii="Calibri" w:hAnsi="Calibri" w:cs="Calibri"/>
        <w:sz w:val="20"/>
        <w:szCs w:val="20"/>
      </w:rPr>
      <w:t xml:space="preserve">         </w:t>
    </w:r>
    <w:r w:rsidRPr="0017193E">
      <w:rPr>
        <w:rFonts w:ascii="Calibri" w:hAnsi="Calibri" w:cs="Calibri"/>
        <w:sz w:val="20"/>
        <w:szCs w:val="20"/>
      </w:rPr>
      <w:fldChar w:fldCharType="begin"/>
    </w:r>
    <w:r w:rsidRPr="0017193E">
      <w:rPr>
        <w:rFonts w:ascii="Calibri" w:hAnsi="Calibri" w:cs="Calibri"/>
        <w:sz w:val="20"/>
        <w:szCs w:val="20"/>
      </w:rPr>
      <w:instrText xml:space="preserve"> PAGE   \* MERGEFORMAT </w:instrText>
    </w:r>
    <w:r w:rsidRPr="0017193E">
      <w:rPr>
        <w:rFonts w:ascii="Calibri" w:hAnsi="Calibri" w:cs="Calibri"/>
        <w:sz w:val="20"/>
        <w:szCs w:val="20"/>
      </w:rPr>
      <w:fldChar w:fldCharType="separate"/>
    </w:r>
    <w:r>
      <w:rPr>
        <w:rFonts w:ascii="Calibri" w:hAnsi="Calibri" w:cs="Calibri"/>
        <w:sz w:val="20"/>
        <w:szCs w:val="20"/>
      </w:rPr>
      <w:t>2</w:t>
    </w:r>
    <w:r w:rsidRPr="0017193E">
      <w:rPr>
        <w:rFonts w:ascii="Calibri" w:hAnsi="Calibri" w:cs="Calibri"/>
        <w:noProof/>
        <w:sz w:val="20"/>
        <w:szCs w:val="20"/>
      </w:rPr>
      <w:fldChar w:fldCharType="end"/>
    </w:r>
    <w:r w:rsidRPr="0017193E">
      <w:rPr>
        <w:rFonts w:ascii="Calibri" w:hAnsi="Calibri" w:cs="Calibri"/>
        <w:sz w:val="20"/>
        <w:szCs w:val="20"/>
      </w:rPr>
      <w:t xml:space="preserve"> | </w:t>
    </w:r>
    <w:r w:rsidRPr="0017193E">
      <w:rPr>
        <w:rFonts w:ascii="Calibri" w:hAnsi="Calibri" w:cs="Calibri"/>
        <w:color w:val="808080"/>
        <w:spacing w:val="60"/>
        <w:sz w:val="20"/>
        <w:szCs w:val="20"/>
      </w:rPr>
      <w:t>Page</w:t>
    </w:r>
  </w:p>
  <w:p w14:paraId="08127728" w14:textId="77777777" w:rsidR="00DF3B7B" w:rsidRPr="0017193E" w:rsidRDefault="00DF3B7B" w:rsidP="00DF3B7B">
    <w:pPr>
      <w:pStyle w:val="Footer"/>
      <w:rPr>
        <w:rFonts w:ascii="Calibri" w:hAnsi="Calibri" w:cs="Calibri"/>
        <w:i/>
        <w:sz w:val="18"/>
        <w:szCs w:val="18"/>
      </w:rPr>
    </w:pPr>
    <w:r w:rsidRPr="0017193E">
      <w:rPr>
        <w:rFonts w:ascii="Calibri" w:hAnsi="Calibri" w:cs="Calibri"/>
        <w:i/>
        <w:sz w:val="18"/>
        <w:szCs w:val="18"/>
      </w:rPr>
      <w:t xml:space="preserve">Guidelines for the Prevention of Chemotherapy Regimen Specific Complications – </w:t>
    </w:r>
    <w:r>
      <w:rPr>
        <w:rFonts w:ascii="Calibri" w:hAnsi="Calibri" w:cs="Calibri"/>
        <w:i/>
        <w:sz w:val="18"/>
        <w:szCs w:val="18"/>
      </w:rPr>
      <w:t>Intravenous Hydration Fluids</w:t>
    </w:r>
  </w:p>
  <w:p w14:paraId="4771F121" w14:textId="77777777" w:rsidR="00975D8A" w:rsidRPr="00DF3B7B" w:rsidRDefault="00975D8A" w:rsidP="00DF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4B9ED" w14:textId="77777777" w:rsidR="0068057D" w:rsidRDefault="0068057D">
      <w:r>
        <w:separator/>
      </w:r>
    </w:p>
  </w:footnote>
  <w:footnote w:type="continuationSeparator" w:id="0">
    <w:p w14:paraId="019EC232" w14:textId="77777777" w:rsidR="0068057D" w:rsidRDefault="0068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0043" w14:textId="618E85FE" w:rsidR="00405C80" w:rsidRDefault="008E1DE7" w:rsidP="00405C80">
    <w:pPr>
      <w:pStyle w:val="Header"/>
      <w:jc w:val="right"/>
    </w:pPr>
    <w:r w:rsidRPr="002F408F">
      <w:rPr>
        <w:noProof/>
        <w:color w:val="1F497D"/>
        <w:lang w:val="en-GB" w:eastAsia="en-GB"/>
      </w:rPr>
      <w:drawing>
        <wp:inline distT="0" distB="0" distL="0" distR="0" wp14:anchorId="629BA7CA" wp14:editId="4C472CCD">
          <wp:extent cx="182880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2150"/>
                  </a:xfrm>
                  <a:prstGeom prst="rect">
                    <a:avLst/>
                  </a:prstGeom>
                  <a:noFill/>
                  <a:ln>
                    <a:noFill/>
                  </a:ln>
                </pic:spPr>
              </pic:pic>
            </a:graphicData>
          </a:graphic>
        </wp:inline>
      </w:drawing>
    </w:r>
  </w:p>
  <w:p w14:paraId="49FEDAD0" w14:textId="77777777" w:rsidR="00405C80" w:rsidRDefault="0040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038"/>
    <w:multiLevelType w:val="hybridMultilevel"/>
    <w:tmpl w:val="3A5AE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C11E6"/>
    <w:multiLevelType w:val="hybridMultilevel"/>
    <w:tmpl w:val="B4D4D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7630"/>
    <w:multiLevelType w:val="hybridMultilevel"/>
    <w:tmpl w:val="F4CA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0FA"/>
    <w:multiLevelType w:val="hybridMultilevel"/>
    <w:tmpl w:val="3748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7592"/>
    <w:multiLevelType w:val="hybridMultilevel"/>
    <w:tmpl w:val="7206D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239C9"/>
    <w:multiLevelType w:val="hybridMultilevel"/>
    <w:tmpl w:val="4446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25A6F"/>
    <w:multiLevelType w:val="hybridMultilevel"/>
    <w:tmpl w:val="35C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600FA"/>
    <w:multiLevelType w:val="hybridMultilevel"/>
    <w:tmpl w:val="31AE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456F0"/>
    <w:multiLevelType w:val="hybridMultilevel"/>
    <w:tmpl w:val="F41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175B7"/>
    <w:multiLevelType w:val="hybridMultilevel"/>
    <w:tmpl w:val="648E1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F266F"/>
    <w:multiLevelType w:val="hybridMultilevel"/>
    <w:tmpl w:val="45B6BD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CD5FAF"/>
    <w:multiLevelType w:val="hybridMultilevel"/>
    <w:tmpl w:val="EAD6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F2C08"/>
    <w:multiLevelType w:val="hybridMultilevel"/>
    <w:tmpl w:val="BC34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71C60"/>
    <w:multiLevelType w:val="hybridMultilevel"/>
    <w:tmpl w:val="DA08E62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D3321D"/>
    <w:multiLevelType w:val="hybridMultilevel"/>
    <w:tmpl w:val="8786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F1E78"/>
    <w:multiLevelType w:val="hybridMultilevel"/>
    <w:tmpl w:val="2138E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99357E"/>
    <w:multiLevelType w:val="hybridMultilevel"/>
    <w:tmpl w:val="E61C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B5842"/>
    <w:multiLevelType w:val="multilevel"/>
    <w:tmpl w:val="C9DA67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5D640789"/>
    <w:multiLevelType w:val="hybridMultilevel"/>
    <w:tmpl w:val="A398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31AEF"/>
    <w:multiLevelType w:val="multilevel"/>
    <w:tmpl w:val="C9DA67F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6C606266"/>
    <w:multiLevelType w:val="hybridMultilevel"/>
    <w:tmpl w:val="67F0FA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635EF"/>
    <w:multiLevelType w:val="hybridMultilevel"/>
    <w:tmpl w:val="028AE442"/>
    <w:lvl w:ilvl="0" w:tplc="08090001">
      <w:start w:val="1"/>
      <w:numFmt w:val="bullet"/>
      <w:lvlText w:val=""/>
      <w:lvlJc w:val="left"/>
      <w:pPr>
        <w:ind w:left="770" w:hanging="360"/>
      </w:pPr>
      <w:rPr>
        <w:rFonts w:ascii="Symbol" w:hAnsi="Symbol" w:hint="default"/>
      </w:rPr>
    </w:lvl>
    <w:lvl w:ilvl="1" w:tplc="0809000B">
      <w:start w:val="1"/>
      <w:numFmt w:val="bullet"/>
      <w:lvlText w:val=""/>
      <w:lvlJc w:val="left"/>
      <w:pPr>
        <w:ind w:left="1490" w:hanging="360"/>
      </w:pPr>
      <w:rPr>
        <w:rFonts w:ascii="Wingdings" w:hAnsi="Wingding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7C1E50C7"/>
    <w:multiLevelType w:val="hybridMultilevel"/>
    <w:tmpl w:val="4E08E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77151">
    <w:abstractNumId w:val="1"/>
  </w:num>
  <w:num w:numId="2" w16cid:durableId="2039818274">
    <w:abstractNumId w:val="13"/>
  </w:num>
  <w:num w:numId="3" w16cid:durableId="68308687">
    <w:abstractNumId w:val="10"/>
  </w:num>
  <w:num w:numId="4" w16cid:durableId="557134777">
    <w:abstractNumId w:val="0"/>
  </w:num>
  <w:num w:numId="5" w16cid:durableId="888958863">
    <w:abstractNumId w:val="15"/>
  </w:num>
  <w:num w:numId="6" w16cid:durableId="1232929598">
    <w:abstractNumId w:val="17"/>
  </w:num>
  <w:num w:numId="7" w16cid:durableId="940995841">
    <w:abstractNumId w:val="4"/>
  </w:num>
  <w:num w:numId="8" w16cid:durableId="958954081">
    <w:abstractNumId w:val="19"/>
  </w:num>
  <w:num w:numId="9" w16cid:durableId="604114946">
    <w:abstractNumId w:val="12"/>
  </w:num>
  <w:num w:numId="10" w16cid:durableId="1817186903">
    <w:abstractNumId w:val="18"/>
  </w:num>
  <w:num w:numId="11" w16cid:durableId="816385064">
    <w:abstractNumId w:val="11"/>
  </w:num>
  <w:num w:numId="12" w16cid:durableId="697898934">
    <w:abstractNumId w:val="3"/>
  </w:num>
  <w:num w:numId="13" w16cid:durableId="1034817486">
    <w:abstractNumId w:val="6"/>
  </w:num>
  <w:num w:numId="14" w16cid:durableId="1510287614">
    <w:abstractNumId w:val="14"/>
  </w:num>
  <w:num w:numId="15" w16cid:durableId="851143527">
    <w:abstractNumId w:val="5"/>
  </w:num>
  <w:num w:numId="16" w16cid:durableId="1417826215">
    <w:abstractNumId w:val="16"/>
  </w:num>
  <w:num w:numId="17" w16cid:durableId="1848396749">
    <w:abstractNumId w:val="9"/>
  </w:num>
  <w:num w:numId="18" w16cid:durableId="23411172">
    <w:abstractNumId w:val="22"/>
  </w:num>
  <w:num w:numId="19" w16cid:durableId="2040350242">
    <w:abstractNumId w:val="20"/>
  </w:num>
  <w:num w:numId="20" w16cid:durableId="2133134053">
    <w:abstractNumId w:val="7"/>
  </w:num>
  <w:num w:numId="21" w16cid:durableId="1587032106">
    <w:abstractNumId w:val="2"/>
  </w:num>
  <w:num w:numId="22" w16cid:durableId="2134401186">
    <w:abstractNumId w:val="21"/>
  </w:num>
  <w:num w:numId="23" w16cid:durableId="1065765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B1"/>
    <w:rsid w:val="00021788"/>
    <w:rsid w:val="000407C7"/>
    <w:rsid w:val="00050194"/>
    <w:rsid w:val="0008023C"/>
    <w:rsid w:val="000835CA"/>
    <w:rsid w:val="00090B0E"/>
    <w:rsid w:val="000B0F60"/>
    <w:rsid w:val="000C1227"/>
    <w:rsid w:val="000C387C"/>
    <w:rsid w:val="000C4342"/>
    <w:rsid w:val="000D0B45"/>
    <w:rsid w:val="000E3316"/>
    <w:rsid w:val="000F0048"/>
    <w:rsid w:val="00123108"/>
    <w:rsid w:val="00155677"/>
    <w:rsid w:val="00160AD9"/>
    <w:rsid w:val="00171F1B"/>
    <w:rsid w:val="001858B6"/>
    <w:rsid w:val="00195026"/>
    <w:rsid w:val="001C5E68"/>
    <w:rsid w:val="00234A93"/>
    <w:rsid w:val="002459A2"/>
    <w:rsid w:val="00251D24"/>
    <w:rsid w:val="00254C23"/>
    <w:rsid w:val="0029286A"/>
    <w:rsid w:val="002A6DB2"/>
    <w:rsid w:val="002C3DD6"/>
    <w:rsid w:val="002C6DD7"/>
    <w:rsid w:val="002E4AF9"/>
    <w:rsid w:val="002E5680"/>
    <w:rsid w:val="002F408F"/>
    <w:rsid w:val="002F44EA"/>
    <w:rsid w:val="0030062B"/>
    <w:rsid w:val="00303020"/>
    <w:rsid w:val="003070EB"/>
    <w:rsid w:val="003348AC"/>
    <w:rsid w:val="00350296"/>
    <w:rsid w:val="00351B33"/>
    <w:rsid w:val="003525FA"/>
    <w:rsid w:val="003746A1"/>
    <w:rsid w:val="00375159"/>
    <w:rsid w:val="0037624A"/>
    <w:rsid w:val="0038002C"/>
    <w:rsid w:val="0038477B"/>
    <w:rsid w:val="003919B6"/>
    <w:rsid w:val="00391B0E"/>
    <w:rsid w:val="0039308C"/>
    <w:rsid w:val="003A5C60"/>
    <w:rsid w:val="003C2E66"/>
    <w:rsid w:val="003C533F"/>
    <w:rsid w:val="003D4493"/>
    <w:rsid w:val="003F4658"/>
    <w:rsid w:val="003F753A"/>
    <w:rsid w:val="00405C80"/>
    <w:rsid w:val="00416E24"/>
    <w:rsid w:val="00435890"/>
    <w:rsid w:val="00451B67"/>
    <w:rsid w:val="00456FFE"/>
    <w:rsid w:val="00466B7F"/>
    <w:rsid w:val="00474EAB"/>
    <w:rsid w:val="004927B1"/>
    <w:rsid w:val="004A1A69"/>
    <w:rsid w:val="004A3FB1"/>
    <w:rsid w:val="004C26D9"/>
    <w:rsid w:val="004C30E3"/>
    <w:rsid w:val="004C6799"/>
    <w:rsid w:val="004C7EE1"/>
    <w:rsid w:val="004D1A46"/>
    <w:rsid w:val="004E6354"/>
    <w:rsid w:val="004F49D7"/>
    <w:rsid w:val="00505BB1"/>
    <w:rsid w:val="0051560D"/>
    <w:rsid w:val="00517E80"/>
    <w:rsid w:val="00533244"/>
    <w:rsid w:val="005369E3"/>
    <w:rsid w:val="005407D5"/>
    <w:rsid w:val="005543A5"/>
    <w:rsid w:val="005622FB"/>
    <w:rsid w:val="005628A7"/>
    <w:rsid w:val="00563D02"/>
    <w:rsid w:val="00573492"/>
    <w:rsid w:val="005822AB"/>
    <w:rsid w:val="005A0A07"/>
    <w:rsid w:val="005A1983"/>
    <w:rsid w:val="005B570A"/>
    <w:rsid w:val="005C1096"/>
    <w:rsid w:val="005C2377"/>
    <w:rsid w:val="005C5AC7"/>
    <w:rsid w:val="005D69AF"/>
    <w:rsid w:val="005F0DF8"/>
    <w:rsid w:val="005F28F1"/>
    <w:rsid w:val="005F4B67"/>
    <w:rsid w:val="00602A23"/>
    <w:rsid w:val="0060482D"/>
    <w:rsid w:val="006070AA"/>
    <w:rsid w:val="0061404D"/>
    <w:rsid w:val="006303D5"/>
    <w:rsid w:val="0064058C"/>
    <w:rsid w:val="006411A5"/>
    <w:rsid w:val="006420EB"/>
    <w:rsid w:val="006452AD"/>
    <w:rsid w:val="00655817"/>
    <w:rsid w:val="00656B37"/>
    <w:rsid w:val="00664D19"/>
    <w:rsid w:val="0068057D"/>
    <w:rsid w:val="006850A7"/>
    <w:rsid w:val="00694BB8"/>
    <w:rsid w:val="006A6603"/>
    <w:rsid w:val="006C0DB2"/>
    <w:rsid w:val="006C65EB"/>
    <w:rsid w:val="006C7186"/>
    <w:rsid w:val="006D6E3E"/>
    <w:rsid w:val="006E175A"/>
    <w:rsid w:val="006F3138"/>
    <w:rsid w:val="00702AA1"/>
    <w:rsid w:val="00704A6D"/>
    <w:rsid w:val="0072057C"/>
    <w:rsid w:val="00725232"/>
    <w:rsid w:val="00733E9E"/>
    <w:rsid w:val="00751630"/>
    <w:rsid w:val="00751948"/>
    <w:rsid w:val="0075307D"/>
    <w:rsid w:val="007653E9"/>
    <w:rsid w:val="007737B1"/>
    <w:rsid w:val="00774577"/>
    <w:rsid w:val="0078611C"/>
    <w:rsid w:val="0078660A"/>
    <w:rsid w:val="00786FA6"/>
    <w:rsid w:val="007A0C90"/>
    <w:rsid w:val="007E0EB1"/>
    <w:rsid w:val="007E1C64"/>
    <w:rsid w:val="007E2D84"/>
    <w:rsid w:val="007E4338"/>
    <w:rsid w:val="007E5496"/>
    <w:rsid w:val="008179A0"/>
    <w:rsid w:val="00817ABD"/>
    <w:rsid w:val="00840134"/>
    <w:rsid w:val="00860817"/>
    <w:rsid w:val="00891DBA"/>
    <w:rsid w:val="008A4B94"/>
    <w:rsid w:val="008A7A03"/>
    <w:rsid w:val="008B08D9"/>
    <w:rsid w:val="008B6750"/>
    <w:rsid w:val="008C0B5B"/>
    <w:rsid w:val="008C638D"/>
    <w:rsid w:val="008E1DE7"/>
    <w:rsid w:val="00905F75"/>
    <w:rsid w:val="00911BFE"/>
    <w:rsid w:val="009213E1"/>
    <w:rsid w:val="009358BA"/>
    <w:rsid w:val="00954341"/>
    <w:rsid w:val="0095753D"/>
    <w:rsid w:val="00960A2A"/>
    <w:rsid w:val="00962C92"/>
    <w:rsid w:val="009647D1"/>
    <w:rsid w:val="00975D8A"/>
    <w:rsid w:val="009954C3"/>
    <w:rsid w:val="0099738E"/>
    <w:rsid w:val="009A3CDB"/>
    <w:rsid w:val="009A4278"/>
    <w:rsid w:val="009C2D16"/>
    <w:rsid w:val="009C3421"/>
    <w:rsid w:val="009C6C64"/>
    <w:rsid w:val="009D12EE"/>
    <w:rsid w:val="009E0829"/>
    <w:rsid w:val="009E3C4A"/>
    <w:rsid w:val="009E669A"/>
    <w:rsid w:val="00A151AC"/>
    <w:rsid w:val="00A17C70"/>
    <w:rsid w:val="00A34E70"/>
    <w:rsid w:val="00A379FF"/>
    <w:rsid w:val="00A424A3"/>
    <w:rsid w:val="00A577DD"/>
    <w:rsid w:val="00A83CDD"/>
    <w:rsid w:val="00A85BED"/>
    <w:rsid w:val="00A87965"/>
    <w:rsid w:val="00AA14BF"/>
    <w:rsid w:val="00AA4493"/>
    <w:rsid w:val="00AA4E2B"/>
    <w:rsid w:val="00AB32E4"/>
    <w:rsid w:val="00AC61D8"/>
    <w:rsid w:val="00AD59B3"/>
    <w:rsid w:val="00AD6800"/>
    <w:rsid w:val="00AD772E"/>
    <w:rsid w:val="00AF2087"/>
    <w:rsid w:val="00B039B1"/>
    <w:rsid w:val="00B15712"/>
    <w:rsid w:val="00B301CA"/>
    <w:rsid w:val="00B326DC"/>
    <w:rsid w:val="00B66906"/>
    <w:rsid w:val="00B95C7E"/>
    <w:rsid w:val="00BC0ABB"/>
    <w:rsid w:val="00BC70B9"/>
    <w:rsid w:val="00BD47EA"/>
    <w:rsid w:val="00BF010B"/>
    <w:rsid w:val="00BF2C24"/>
    <w:rsid w:val="00C32217"/>
    <w:rsid w:val="00C338A6"/>
    <w:rsid w:val="00C470D6"/>
    <w:rsid w:val="00C54E7C"/>
    <w:rsid w:val="00C6711C"/>
    <w:rsid w:val="00C67DC2"/>
    <w:rsid w:val="00C75F0E"/>
    <w:rsid w:val="00C778F9"/>
    <w:rsid w:val="00C77F10"/>
    <w:rsid w:val="00C8494D"/>
    <w:rsid w:val="00CA17D0"/>
    <w:rsid w:val="00CB7B26"/>
    <w:rsid w:val="00CC6CE3"/>
    <w:rsid w:val="00CE08A8"/>
    <w:rsid w:val="00CE1864"/>
    <w:rsid w:val="00D064BB"/>
    <w:rsid w:val="00D2531A"/>
    <w:rsid w:val="00D26B90"/>
    <w:rsid w:val="00D41DEE"/>
    <w:rsid w:val="00D576CE"/>
    <w:rsid w:val="00D64575"/>
    <w:rsid w:val="00DB28AE"/>
    <w:rsid w:val="00DB51BA"/>
    <w:rsid w:val="00DF3B7B"/>
    <w:rsid w:val="00E000F6"/>
    <w:rsid w:val="00E01DBD"/>
    <w:rsid w:val="00E05A4C"/>
    <w:rsid w:val="00E07E84"/>
    <w:rsid w:val="00E157EF"/>
    <w:rsid w:val="00E40608"/>
    <w:rsid w:val="00E44EE0"/>
    <w:rsid w:val="00E538EE"/>
    <w:rsid w:val="00E53CD7"/>
    <w:rsid w:val="00E83FBD"/>
    <w:rsid w:val="00EB6361"/>
    <w:rsid w:val="00EC05E4"/>
    <w:rsid w:val="00EC1D72"/>
    <w:rsid w:val="00ED369C"/>
    <w:rsid w:val="00ED5656"/>
    <w:rsid w:val="00EF1F91"/>
    <w:rsid w:val="00F00B43"/>
    <w:rsid w:val="00F039B5"/>
    <w:rsid w:val="00F07186"/>
    <w:rsid w:val="00F07C5D"/>
    <w:rsid w:val="00F14EC1"/>
    <w:rsid w:val="00F16E19"/>
    <w:rsid w:val="00F46BBD"/>
    <w:rsid w:val="00F57813"/>
    <w:rsid w:val="00F6183A"/>
    <w:rsid w:val="00F62A09"/>
    <w:rsid w:val="00F843F8"/>
    <w:rsid w:val="00F9534C"/>
    <w:rsid w:val="00F97299"/>
    <w:rsid w:val="00FB1BF1"/>
    <w:rsid w:val="00FB7A70"/>
    <w:rsid w:val="00FE0C74"/>
    <w:rsid w:val="00FF481F"/>
    <w:rsid w:val="0F966544"/>
    <w:rsid w:val="2A199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637B6"/>
  <w15:chartTrackingRefBased/>
  <w15:docId w15:val="{0F70659E-B6A2-412C-BB8F-A8F7F869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7F10"/>
    <w:rPr>
      <w:sz w:val="16"/>
      <w:szCs w:val="16"/>
    </w:rPr>
  </w:style>
  <w:style w:type="paragraph" w:styleId="CommentText">
    <w:name w:val="annotation text"/>
    <w:basedOn w:val="Normal"/>
    <w:semiHidden/>
    <w:rsid w:val="00C77F10"/>
    <w:rPr>
      <w:sz w:val="20"/>
      <w:szCs w:val="20"/>
    </w:rPr>
  </w:style>
  <w:style w:type="paragraph" w:styleId="CommentSubject">
    <w:name w:val="annotation subject"/>
    <w:basedOn w:val="CommentText"/>
    <w:next w:val="CommentText"/>
    <w:semiHidden/>
    <w:rsid w:val="00C77F10"/>
    <w:rPr>
      <w:b/>
      <w:bCs/>
    </w:rPr>
  </w:style>
  <w:style w:type="paragraph" w:styleId="BalloonText">
    <w:name w:val="Balloon Text"/>
    <w:basedOn w:val="Normal"/>
    <w:semiHidden/>
    <w:rsid w:val="00C77F10"/>
    <w:rPr>
      <w:rFonts w:ascii="Tahoma" w:hAnsi="Tahoma" w:cs="Tahoma"/>
      <w:sz w:val="16"/>
      <w:szCs w:val="16"/>
    </w:rPr>
  </w:style>
  <w:style w:type="paragraph" w:styleId="Header">
    <w:name w:val="header"/>
    <w:basedOn w:val="Normal"/>
    <w:link w:val="HeaderChar"/>
    <w:uiPriority w:val="99"/>
    <w:rsid w:val="005D69AF"/>
    <w:pPr>
      <w:tabs>
        <w:tab w:val="center" w:pos="4153"/>
        <w:tab w:val="right" w:pos="8306"/>
      </w:tabs>
    </w:pPr>
  </w:style>
  <w:style w:type="paragraph" w:styleId="Footer">
    <w:name w:val="footer"/>
    <w:basedOn w:val="Normal"/>
    <w:link w:val="FooterChar"/>
    <w:uiPriority w:val="99"/>
    <w:rsid w:val="005D69AF"/>
    <w:pPr>
      <w:tabs>
        <w:tab w:val="center" w:pos="4153"/>
        <w:tab w:val="right" w:pos="8306"/>
      </w:tabs>
    </w:pPr>
  </w:style>
  <w:style w:type="character" w:styleId="PageNumber">
    <w:name w:val="page number"/>
    <w:basedOn w:val="DefaultParagraphFont"/>
    <w:rsid w:val="005D69AF"/>
  </w:style>
  <w:style w:type="paragraph" w:styleId="HTMLPreformatted">
    <w:name w:val="HTML Preformatted"/>
    <w:basedOn w:val="Normal"/>
    <w:rsid w:val="009D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Typewriter3">
    <w:name w:val="HTML Typewriter3"/>
    <w:rsid w:val="009D12EE"/>
    <w:rPr>
      <w:rFonts w:ascii="Courier New" w:eastAsia="Times New Roman" w:hAnsi="Courier New" w:cs="Courier New"/>
      <w:sz w:val="20"/>
      <w:szCs w:val="20"/>
    </w:rPr>
  </w:style>
  <w:style w:type="paragraph" w:styleId="NoSpacing">
    <w:name w:val="No Spacing"/>
    <w:uiPriority w:val="1"/>
    <w:qFormat/>
    <w:rsid w:val="002E4AF9"/>
    <w:rPr>
      <w:rFonts w:ascii="Calibri" w:eastAsia="Calibri" w:hAnsi="Calibri"/>
      <w:sz w:val="22"/>
      <w:szCs w:val="22"/>
      <w:lang w:eastAsia="en-US"/>
    </w:rPr>
  </w:style>
  <w:style w:type="paragraph" w:customStyle="1" w:styleId="Default">
    <w:name w:val="Default"/>
    <w:rsid w:val="00694BB8"/>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405C80"/>
    <w:rPr>
      <w:sz w:val="24"/>
      <w:szCs w:val="24"/>
      <w:lang w:val="en-US" w:eastAsia="en-US"/>
    </w:rPr>
  </w:style>
  <w:style w:type="character" w:customStyle="1" w:styleId="FooterChar">
    <w:name w:val="Footer Char"/>
    <w:link w:val="Footer"/>
    <w:uiPriority w:val="99"/>
    <w:rsid w:val="00350296"/>
    <w:rPr>
      <w:sz w:val="24"/>
      <w:szCs w:val="24"/>
      <w:lang w:val="en-US" w:eastAsia="en-US"/>
    </w:rPr>
  </w:style>
  <w:style w:type="character" w:styleId="Hyperlink">
    <w:name w:val="Hyperlink"/>
    <w:rsid w:val="00DB28AE"/>
    <w:rPr>
      <w:color w:val="0000FF"/>
      <w:u w:val="single"/>
    </w:rPr>
  </w:style>
  <w:style w:type="paragraph" w:customStyle="1" w:styleId="BodyA">
    <w:name w:val="Body A"/>
    <w:rsid w:val="003C2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basedOn w:val="Normal"/>
    <w:uiPriority w:val="34"/>
    <w:qFormat/>
    <w:rsid w:val="008C638D"/>
    <w:pPr>
      <w:ind w:left="720"/>
    </w:pPr>
  </w:style>
  <w:style w:type="paragraph" w:styleId="Revision">
    <w:name w:val="Revision"/>
    <w:hidden/>
    <w:uiPriority w:val="99"/>
    <w:semiHidden/>
    <w:rsid w:val="00F039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42249">
      <w:bodyDiv w:val="1"/>
      <w:marLeft w:val="0"/>
      <w:marRight w:val="0"/>
      <w:marTop w:val="0"/>
      <w:marBottom w:val="0"/>
      <w:divBdr>
        <w:top w:val="none" w:sz="0" w:space="0" w:color="auto"/>
        <w:left w:val="none" w:sz="0" w:space="0" w:color="auto"/>
        <w:bottom w:val="none" w:sz="0" w:space="0" w:color="auto"/>
        <w:right w:val="none" w:sz="0" w:space="0" w:color="auto"/>
      </w:divBdr>
    </w:div>
    <w:div w:id="17712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Evans Elizabeth</DisplayName>
        <AccountId>258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Approved by Chemo Gp</AdminComments>
    <ReviewDate_due_6m xmlns="a5544097-eb68-476a-80d2-5c4688d0d6a4">2027-03-07T15:26:21+00:00</ReviewDate_due_6m>
    <Consumer_Speciality_2 xmlns="a5544097-eb68-476a-80d2-5c4688d0d6a4">
      <Value>178</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2024-09-02T23:00:00+00:00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Ratified by MMOC</RatComments>
    <RatificationCmtee xmlns="a5544097-eb68-476a-80d2-5c4688d0d6a4">11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Johnson Anne</DisplayName>
        <AccountId>350</AccountId>
        <AccountType/>
      </UserInfo>
    </RatifiedBy>
    <RatifMtgDateComments xmlns="a5544097-eb68-476a-80d2-5c4688d0d6a4" xsi:nil="true"/>
    <Publish xmlns="a5544097-eb68-476a-80d2-5c4688d0d6a4" xsi:nil="true"/>
    <ReSubA xmlns="a5544097-eb68-476a-80d2-5c4688d0d6a4" xsi:nil="true"/>
    <DocumentType xmlns="a5544097-eb68-476a-80d2-5c4688d0d6a4">Guideline</DocumentType>
    <DateSubmitted xmlns="a5544097-eb68-476a-80d2-5c4688d0d6a4" xsi:nil="true"/>
    <NextAction xmlns="a5544097-eb68-476a-80d2-5c4688d0d6a4" xsi:nil="true"/>
    <ApproverName xmlns="a5544097-eb68-476a-80d2-5c4688d0d6a4">
      <UserInfo>
        <DisplayName>Johnson Anne</DisplayName>
        <AccountId>350</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2027-06-05T14:26:21+00:00</ReviewDate_due_3m>
    <Committee xmlns="a5544097-eb68-476a-80d2-5c4688d0d6a4">29</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Johnson Anne</DisplayName>
        <AccountId>350</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Approved by Andrea Gill following MMOC ratification</ApprovalComments>
    <VersionNo xmlns="a5544097-eb68-476a-80d2-5c4688d0d6a4">2</VersionNo>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2027-09-03T14:26:21+00:00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Review due</ChangeReason>
    <DateRatified xmlns="a5544097-eb68-476a-80d2-5c4688d0d6a4">2024-09-02T23:00:00+00:00</DateRatified>
    <LeadSpeciality xmlns="a5544097-eb68-476a-80d2-5c4688d0d6a4">176</LeadSpeciality>
    <ChangesMade xmlns="a5544097-eb68-476a-80d2-5c4688d0d6a4">Pg 1 - prep of electroyle hydration revised
Pg 5 - Sodium levofolinate added; increased rate of sodium bicarbonate during prehydration; prehydration duraction added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2024-09-03T14:26:21+00:00</DatePublished>
    <AddRtfMtgDate xmlns="a5544097-eb68-476a-80d2-5c4688d0d6a4" xsi:nil="true"/>
    <RatReqDate xmlns="a5544097-eb68-476a-80d2-5c4688d0d6a4" xsi:nil="true"/>
    <ReSubR xmlns="a5544097-eb68-476a-80d2-5c4688d0d6a4" xsi:nil="true"/>
    <SharedWithUsers xmlns="a5544097-eb68-476a-80d2-5c4688d0d6a4">
      <UserInfo>
        <DisplayName>Evans Elizabeth</DisplayName>
        <AccountId>258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1" ma:contentTypeDescription="" ma:contentTypeScope="" ma:versionID="84e8c38e65c1b173e2ac26a7e6d60afc">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2fcc862a3bd8c2cc369820e005ca38cf"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5FDDB-2F41-46E9-844A-759290D21126}">
  <ds:schemaRefs>
    <ds:schemaRef ds:uri="http://schemas.microsoft.com/sharepoint/v3/contenttype/forms"/>
  </ds:schemaRefs>
</ds:datastoreItem>
</file>

<file path=customXml/itemProps2.xml><?xml version="1.0" encoding="utf-8"?>
<ds:datastoreItem xmlns:ds="http://schemas.openxmlformats.org/officeDocument/2006/customXml" ds:itemID="{E150CED2-67CB-4BC8-B4C2-5E2CECE0BF32}">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591A4467-2024-48BC-85FC-1D9F9A07596A}">
  <ds:schemaRefs>
    <ds:schemaRef ds:uri="http://schemas.openxmlformats.org/officeDocument/2006/bibliography"/>
  </ds:schemaRefs>
</ds:datastoreItem>
</file>

<file path=customXml/itemProps4.xml><?xml version="1.0" encoding="utf-8"?>
<ds:datastoreItem xmlns:ds="http://schemas.openxmlformats.org/officeDocument/2006/customXml" ds:itemID="{6304222E-88BE-440B-A744-0BE0579B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9021</Characters>
  <Application>Microsoft Office Word</Application>
  <DocSecurity>4</DocSecurity>
  <Lines>75</Lines>
  <Paragraphs>20</Paragraphs>
  <ScaleCrop>false</ScaleCrop>
  <Company>Alderhey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Chemotherapy Complications - IV Hydration Fluids</dc:title>
  <dc:subject/>
  <dc:creator>cosborne</dc:creator>
  <cp:keywords/>
  <cp:lastModifiedBy>Field Katharine (R0A) MFT</cp:lastModifiedBy>
  <cp:revision>2</cp:revision>
  <cp:lastPrinted>2020-01-09T09:22:00Z</cp:lastPrinted>
  <dcterms:created xsi:type="dcterms:W3CDTF">2024-10-24T14:27:00Z</dcterms:created>
  <dcterms:modified xsi:type="dcterms:W3CDTF">2024-10-24T14:27:00Z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